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025BF">
      <w:pPr>
        <w:adjustRightInd w:val="0"/>
        <w:snapToGrid w:val="0"/>
        <w:spacing w:before="54" w:beforeLines="20" w:after="54" w:afterLines="20" w:line="540" w:lineRule="exact"/>
        <w:ind w:right="15" w:rightChars="7"/>
        <w:jc w:val="center"/>
        <w:rPr>
          <w:rFonts w:hint="eastAsia" w:ascii="宋体" w:hAnsi="宋体" w:cs="宋体"/>
          <w:b/>
          <w:color w:val="auto"/>
          <w:sz w:val="52"/>
          <w:szCs w:val="44"/>
          <w:highlight w:val="none"/>
        </w:rPr>
      </w:pPr>
    </w:p>
    <w:p w14:paraId="40619A33">
      <w:pPr>
        <w:pStyle w:val="33"/>
        <w:rPr>
          <w:rFonts w:hint="eastAsia"/>
          <w:color w:val="auto"/>
          <w:highlight w:val="none"/>
        </w:rPr>
      </w:pPr>
    </w:p>
    <w:p w14:paraId="16884A77">
      <w:pPr>
        <w:adjustRightInd w:val="0"/>
        <w:snapToGrid w:val="0"/>
        <w:spacing w:before="54" w:beforeLines="20" w:after="54" w:afterLines="20" w:line="1100" w:lineRule="exact"/>
        <w:ind w:right="15" w:rightChars="7"/>
        <w:jc w:val="center"/>
        <w:rPr>
          <w:rFonts w:hint="eastAsia" w:ascii="宋体" w:hAnsi="宋体" w:cs="宋体"/>
          <w:b/>
          <w:color w:val="auto"/>
          <w:sz w:val="48"/>
          <w:szCs w:val="48"/>
          <w:highlight w:val="none"/>
          <w:lang w:val="en-US" w:eastAsia="zh-CN"/>
        </w:rPr>
      </w:pPr>
      <w:r>
        <w:rPr>
          <w:rFonts w:hint="eastAsia" w:ascii="宋体" w:hAnsi="宋体" w:cs="宋体"/>
          <w:b/>
          <w:color w:val="auto"/>
          <w:sz w:val="48"/>
          <w:szCs w:val="48"/>
          <w:highlight w:val="none"/>
          <w:lang w:val="en-US" w:eastAsia="zh-CN"/>
        </w:rPr>
        <w:t>金安区妇幼保健院药品耗材追溯码应用开发服务项目</w:t>
      </w:r>
    </w:p>
    <w:p w14:paraId="4EF2C45B">
      <w:pPr>
        <w:pStyle w:val="33"/>
        <w:rPr>
          <w:rFonts w:hint="eastAsia"/>
          <w:lang w:val="en-US" w:eastAsia="zh-CN"/>
        </w:rPr>
      </w:pPr>
    </w:p>
    <w:p w14:paraId="63BEF979">
      <w:pPr>
        <w:pStyle w:val="33"/>
        <w:rPr>
          <w:rFonts w:hint="eastAsia"/>
          <w:lang w:val="en-US" w:eastAsia="zh-CN"/>
        </w:rPr>
      </w:pPr>
    </w:p>
    <w:p w14:paraId="71BC2CCE">
      <w:pPr>
        <w:adjustRightInd w:val="0"/>
        <w:snapToGrid w:val="0"/>
        <w:spacing w:before="54" w:beforeLines="20" w:after="54" w:afterLines="20" w:line="1100" w:lineRule="exact"/>
        <w:ind w:right="15" w:rightChars="7"/>
        <w:jc w:val="center"/>
        <w:rPr>
          <w:rFonts w:hint="eastAsia"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eastAsia="zh-CN"/>
        </w:rPr>
        <w:t>磋商文件</w:t>
      </w:r>
    </w:p>
    <w:p w14:paraId="747C0E0B">
      <w:pPr>
        <w:adjustRightInd w:val="0"/>
        <w:snapToGrid w:val="0"/>
        <w:spacing w:before="54" w:beforeLines="20" w:after="54" w:afterLines="20" w:line="540" w:lineRule="exact"/>
        <w:ind w:right="15" w:rightChars="7"/>
        <w:jc w:val="center"/>
        <w:rPr>
          <w:rFonts w:hint="default" w:ascii="宋体" w:hAnsi="宋体" w:eastAsia="宋体"/>
          <w:b/>
          <w:bCs/>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val="en-US" w:eastAsia="zh-CN"/>
        </w:rPr>
        <w:t xml:space="preserve"> JAFY-2025-003</w:t>
      </w:r>
    </w:p>
    <w:p w14:paraId="7C33C019">
      <w:pPr>
        <w:pStyle w:val="108"/>
        <w:widowControl w:val="0"/>
        <w:adjustRightInd w:val="0"/>
        <w:snapToGrid w:val="0"/>
        <w:spacing w:before="54" w:beforeLines="20" w:after="54" w:afterLines="20" w:line="540" w:lineRule="exact"/>
        <w:ind w:right="15" w:rightChars="7"/>
        <w:rPr>
          <w:rFonts w:hint="eastAsia" w:hAnsi="宋体"/>
          <w:color w:val="auto"/>
          <w:kern w:val="2"/>
          <w:szCs w:val="24"/>
          <w:highlight w:val="none"/>
        </w:rPr>
      </w:pPr>
    </w:p>
    <w:p w14:paraId="64010FF4">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14AC2104">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0C2CA346">
      <w:pPr>
        <w:pStyle w:val="33"/>
        <w:rPr>
          <w:rFonts w:hint="eastAsia"/>
          <w:color w:val="auto"/>
          <w:highlight w:val="none"/>
        </w:rPr>
      </w:pPr>
    </w:p>
    <w:p w14:paraId="13A3892E">
      <w:pPr>
        <w:adjustRightInd w:val="0"/>
        <w:snapToGrid w:val="0"/>
        <w:spacing w:line="480" w:lineRule="exact"/>
        <w:ind w:right="15" w:rightChars="7"/>
        <w:jc w:val="center"/>
        <w:rPr>
          <w:rFonts w:hint="eastAsia" w:ascii="宋体" w:hAnsi="宋体"/>
          <w:b/>
          <w:color w:val="auto"/>
          <w:sz w:val="32"/>
          <w:highlight w:val="none"/>
        </w:rPr>
      </w:pPr>
    </w:p>
    <w:p w14:paraId="59A2E104">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4199EFA1">
      <w:pPr>
        <w:pStyle w:val="34"/>
        <w:rPr>
          <w:rFonts w:hint="eastAsia"/>
          <w:color w:val="auto"/>
          <w:highlight w:val="none"/>
        </w:rPr>
      </w:pPr>
    </w:p>
    <w:p w14:paraId="649D5B2A">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211C2892">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5FEDB402">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7ACC0EED">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2FC12EF9">
      <w:pPr>
        <w:adjustRightInd w:val="0"/>
        <w:snapToGrid w:val="0"/>
        <w:spacing w:before="54" w:beforeLines="20" w:after="54" w:afterLines="20" w:line="540" w:lineRule="exact"/>
        <w:ind w:right="15" w:rightChars="7"/>
        <w:jc w:val="center"/>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lang w:eastAsia="zh-CN"/>
        </w:rPr>
        <w:t>采购人</w:t>
      </w:r>
      <w:r>
        <w:rPr>
          <w:rFonts w:hint="eastAsia" w:ascii="宋体" w:hAnsi="宋体"/>
          <w:b/>
          <w:color w:val="auto"/>
          <w:sz w:val="36"/>
          <w:szCs w:val="36"/>
          <w:highlight w:val="none"/>
        </w:rPr>
        <w:t>：</w:t>
      </w:r>
      <w:r>
        <w:rPr>
          <w:rFonts w:hint="eastAsia" w:ascii="宋体" w:hAnsi="宋体"/>
          <w:b/>
          <w:color w:val="auto"/>
          <w:spacing w:val="-6"/>
          <w:sz w:val="36"/>
          <w:szCs w:val="36"/>
          <w:highlight w:val="none"/>
          <w:lang w:eastAsia="zh-CN"/>
        </w:rPr>
        <w:t>六安市金安区妇幼保健院</w:t>
      </w:r>
    </w:p>
    <w:p w14:paraId="2C5FB0A7">
      <w:pPr>
        <w:adjustRightInd w:val="0"/>
        <w:snapToGrid w:val="0"/>
        <w:spacing w:before="54" w:beforeLines="20" w:after="54" w:afterLines="20" w:line="540" w:lineRule="exact"/>
        <w:ind w:right="15" w:rightChars="7"/>
        <w:jc w:val="center"/>
        <w:rPr>
          <w:rFonts w:hint="eastAsia" w:ascii="宋体" w:hAnsi="宋体"/>
          <w:b/>
          <w:color w:val="auto"/>
          <w:sz w:val="36"/>
          <w:szCs w:val="36"/>
          <w:highlight w:val="none"/>
        </w:rPr>
      </w:pPr>
      <w:r>
        <w:rPr>
          <w:rFonts w:hint="eastAsia" w:ascii="宋体" w:hAnsi="宋体"/>
          <w:b/>
          <w:color w:val="auto"/>
          <w:sz w:val="36"/>
          <w:szCs w:val="36"/>
          <w:highlight w:val="none"/>
        </w:rPr>
        <w:t>2O2</w:t>
      </w:r>
      <w:r>
        <w:rPr>
          <w:rFonts w:hint="eastAsia" w:ascii="宋体" w:hAnsi="宋体"/>
          <w:b/>
          <w:color w:val="auto"/>
          <w:sz w:val="36"/>
          <w:szCs w:val="36"/>
          <w:highlight w:val="none"/>
          <w:lang w:val="en-US" w:eastAsia="zh-CN"/>
        </w:rPr>
        <w:t>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11</w:t>
      </w:r>
      <w:r>
        <w:rPr>
          <w:rFonts w:hint="eastAsia" w:ascii="宋体" w:hAnsi="宋体"/>
          <w:b/>
          <w:color w:val="auto"/>
          <w:sz w:val="36"/>
          <w:szCs w:val="36"/>
          <w:highlight w:val="none"/>
        </w:rPr>
        <w:t>月</w:t>
      </w:r>
    </w:p>
    <w:p w14:paraId="424886C7">
      <w:pPr>
        <w:adjustRightInd w:val="0"/>
        <w:snapToGrid w:val="0"/>
        <w:spacing w:before="54" w:beforeLines="20" w:after="54" w:afterLines="20" w:line="540" w:lineRule="exact"/>
        <w:ind w:right="15" w:rightChars="7"/>
        <w:jc w:val="center"/>
        <w:rPr>
          <w:rFonts w:hint="eastAsia" w:ascii="隶书" w:hAnsi="宋体" w:eastAsia="隶书"/>
          <w:b/>
          <w:color w:val="auto"/>
          <w:sz w:val="36"/>
          <w:szCs w:val="36"/>
          <w:highlight w:val="none"/>
        </w:rPr>
      </w:pPr>
    </w:p>
    <w:p w14:paraId="5810750C">
      <w:pPr>
        <w:jc w:val="center"/>
        <w:rPr>
          <w:b/>
          <w:color w:val="auto"/>
          <w:sz w:val="28"/>
          <w:szCs w:val="28"/>
          <w:highlight w:val="none"/>
        </w:rPr>
      </w:pPr>
      <w:r>
        <w:rPr>
          <w:rFonts w:hint="eastAsia"/>
          <w:b/>
          <w:color w:val="auto"/>
          <w:sz w:val="28"/>
          <w:szCs w:val="28"/>
          <w:highlight w:val="none"/>
        </w:rPr>
        <w:br w:type="page"/>
      </w:r>
    </w:p>
    <w:p w14:paraId="4406AE8B">
      <w:pPr>
        <w:jc w:val="center"/>
        <w:rPr>
          <w:rFonts w:hint="eastAsia" w:ascii="宋体" w:hAnsi="宋体" w:cs="宋体"/>
          <w:b/>
          <w:color w:val="auto"/>
          <w:sz w:val="36"/>
          <w:szCs w:val="36"/>
          <w:highlight w:val="none"/>
        </w:rPr>
      </w:pPr>
    </w:p>
    <w:p w14:paraId="37244460">
      <w:pPr>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6D163990">
      <w:pPr>
        <w:pStyle w:val="27"/>
        <w:tabs>
          <w:tab w:val="right" w:leader="dot" w:pos="8844"/>
        </w:tabs>
        <w:spacing w:line="420" w:lineRule="exact"/>
        <w:ind w:left="0" w:leftChars="0" w:firstLine="360" w:firstLineChars="150"/>
        <w:rPr>
          <w:rFonts w:ascii="宋体" w:hAnsi="宋体" w:cs="宋体"/>
          <w:b/>
          <w:bCs/>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24"/>
          <w:szCs w:val="24"/>
          <w:highlight w:val="none"/>
          <w:lang w:eastAsia="zh-CN"/>
        </w:rPr>
        <w:t>磋商</w:t>
      </w:r>
      <w:r>
        <w:rPr>
          <w:rFonts w:hint="eastAsia" w:ascii="宋体" w:hAnsi="宋体" w:cs="宋体"/>
          <w:b/>
          <w:bCs/>
          <w:color w:val="auto"/>
          <w:sz w:val="24"/>
          <w:szCs w:val="24"/>
          <w:highlight w:val="none"/>
        </w:rPr>
        <w:t>采购公告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_Toc32264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240F9B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"_Toc15193" </w:instrText>
      </w:r>
      <w:r>
        <w:rPr>
          <w:color w:val="auto"/>
          <w:highlight w:val="none"/>
        </w:rPr>
        <w:fldChar w:fldCharType="separate"/>
      </w:r>
      <w:r>
        <w:rPr>
          <w:rFonts w:hint="eastAsia" w:ascii="宋体" w:hAnsi="宋体" w:cs="宋体"/>
          <w:color w:val="auto"/>
          <w:sz w:val="24"/>
          <w:szCs w:val="24"/>
          <w:highlight w:val="none"/>
        </w:rPr>
        <w:t>一、供应商须知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_Toc15193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64F0B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"_Toc30170" </w:instrText>
      </w:r>
      <w:r>
        <w:rPr>
          <w:color w:val="auto"/>
          <w:highlight w:val="none"/>
        </w:rPr>
        <w:fldChar w:fldCharType="separate"/>
      </w:r>
      <w:r>
        <w:rPr>
          <w:rFonts w:hint="eastAsia" w:ascii="宋体" w:hAnsi="宋体" w:cs="宋体"/>
          <w:color w:val="auto"/>
          <w:sz w:val="24"/>
          <w:szCs w:val="24"/>
          <w:highlight w:val="none"/>
        </w:rPr>
        <w:t>（一）须知前附表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_Toc30170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C1887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"_Toc15181" </w:instrText>
      </w:r>
      <w:r>
        <w:rPr>
          <w:color w:val="auto"/>
          <w:highlight w:val="none"/>
        </w:rPr>
        <w:fldChar w:fldCharType="separate"/>
      </w:r>
      <w:r>
        <w:rPr>
          <w:rFonts w:hint="eastAsia" w:ascii="宋体" w:hAnsi="宋体" w:cs="宋体"/>
          <w:color w:val="auto"/>
          <w:sz w:val="24"/>
          <w:szCs w:val="24"/>
          <w:highlight w:val="none"/>
        </w:rPr>
        <w:t>（二）供应商资格</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44CBE7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"_Toc8254" </w:instrText>
      </w:r>
      <w:r>
        <w:rPr>
          <w:color w:val="auto"/>
          <w:highlight w:val="none"/>
        </w:rPr>
        <w:fldChar w:fldCharType="separate"/>
      </w:r>
      <w:r>
        <w:rPr>
          <w:rFonts w:hint="eastAsia" w:ascii="宋体" w:hAnsi="宋体" w:cs="宋体"/>
          <w:color w:val="auto"/>
          <w:sz w:val="24"/>
          <w:szCs w:val="24"/>
          <w:highlight w:val="none"/>
        </w:rPr>
        <w:t>（三）供应商必须提交的响应文件内容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_Toc8254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20F8AB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"_Toc21758" </w:instrText>
      </w:r>
      <w:r>
        <w:rPr>
          <w:color w:val="auto"/>
          <w:highlight w:val="none"/>
        </w:rPr>
        <w:fldChar w:fldCharType="separate"/>
      </w:r>
      <w:r>
        <w:rPr>
          <w:rFonts w:hint="eastAsia" w:ascii="宋体" w:hAnsi="宋体" w:cs="宋体"/>
          <w:color w:val="auto"/>
          <w:sz w:val="24"/>
          <w:szCs w:val="24"/>
          <w:highlight w:val="none"/>
        </w:rPr>
        <w:t>（四）响应文件的提交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_Toc21758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B46F0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"_Toc31839" </w:instrText>
      </w:r>
      <w:r>
        <w:rPr>
          <w:color w:val="auto"/>
          <w:highlight w:val="none"/>
        </w:rPr>
        <w:fldChar w:fldCharType="separate"/>
      </w:r>
      <w:r>
        <w:rPr>
          <w:rFonts w:hint="eastAsia" w:ascii="宋体" w:hAnsi="宋体" w:cs="宋体"/>
          <w:color w:val="auto"/>
          <w:sz w:val="24"/>
          <w:szCs w:val="24"/>
          <w:highlight w:val="none"/>
        </w:rPr>
        <w:t>（五）磋商程序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_Toc31839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E91628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"_Toc32569" </w:instrText>
      </w:r>
      <w:r>
        <w:rPr>
          <w:color w:val="auto"/>
          <w:highlight w:val="none"/>
        </w:rPr>
        <w:fldChar w:fldCharType="separate"/>
      </w:r>
      <w:r>
        <w:rPr>
          <w:rFonts w:hint="eastAsia" w:ascii="宋体" w:hAnsi="宋体" w:cs="宋体"/>
          <w:color w:val="auto"/>
          <w:sz w:val="24"/>
          <w:szCs w:val="24"/>
          <w:highlight w:val="none"/>
        </w:rPr>
        <w:t>（六）评审及异常情况处理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_Toc32569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0BC3C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"_Toc18563" </w:instrText>
      </w:r>
      <w:r>
        <w:rPr>
          <w:color w:val="auto"/>
          <w:highlight w:val="none"/>
        </w:rPr>
        <w:fldChar w:fldCharType="separate"/>
      </w:r>
      <w:r>
        <w:rPr>
          <w:rFonts w:hint="eastAsia" w:ascii="宋体" w:hAnsi="宋体" w:cs="宋体"/>
          <w:color w:val="auto"/>
          <w:sz w:val="24"/>
          <w:szCs w:val="24"/>
          <w:highlight w:val="none"/>
        </w:rPr>
        <w:t>（七）报价响应及答疑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_Toc18563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F5E198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"_Toc4239" </w:instrText>
      </w:r>
      <w:r>
        <w:rPr>
          <w:color w:val="auto"/>
          <w:highlight w:val="none"/>
        </w:rPr>
        <w:fldChar w:fldCharType="separate"/>
      </w:r>
      <w:r>
        <w:rPr>
          <w:rFonts w:hint="eastAsia" w:ascii="宋体" w:hAnsi="宋体" w:cs="宋体"/>
          <w:color w:val="auto"/>
          <w:sz w:val="24"/>
          <w:szCs w:val="24"/>
          <w:highlight w:val="none"/>
        </w:rPr>
        <w:t>（八）合同的签订</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E4D8AF9">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"_Toc16479" </w:instrText>
      </w:r>
      <w:r>
        <w:rPr>
          <w:color w:val="auto"/>
          <w:highlight w:val="none"/>
        </w:rPr>
        <w:fldChar w:fldCharType="separate"/>
      </w:r>
      <w:r>
        <w:rPr>
          <w:rFonts w:hint="eastAsia" w:ascii="宋体" w:hAnsi="宋体" w:cs="宋体"/>
          <w:color w:val="auto"/>
          <w:sz w:val="24"/>
          <w:szCs w:val="24"/>
          <w:highlight w:val="none"/>
        </w:rPr>
        <w:t>（九）澄清及变更</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_Toc16479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81DD7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"_Toc32257" </w:instrText>
      </w:r>
      <w:r>
        <w:rPr>
          <w:color w:val="auto"/>
          <w:highlight w:val="none"/>
        </w:rPr>
        <w:fldChar w:fldCharType="separate"/>
      </w:r>
      <w:r>
        <w:rPr>
          <w:rFonts w:hint="eastAsia" w:ascii="宋体" w:hAnsi="宋体" w:cs="宋体"/>
          <w:color w:val="auto"/>
          <w:sz w:val="24"/>
          <w:szCs w:val="24"/>
          <w:highlight w:val="none"/>
        </w:rPr>
        <w:t>（十）验收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_Toc32257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EEEFC6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"_Toc28436" </w:instrText>
      </w:r>
      <w:r>
        <w:rPr>
          <w:color w:val="auto"/>
          <w:highlight w:val="none"/>
        </w:rPr>
        <w:fldChar w:fldCharType="separate"/>
      </w:r>
      <w:r>
        <w:rPr>
          <w:rFonts w:hint="eastAsia" w:ascii="宋体" w:hAnsi="宋体" w:cs="宋体"/>
          <w:color w:val="auto"/>
          <w:sz w:val="24"/>
          <w:szCs w:val="24"/>
          <w:highlight w:val="none"/>
        </w:rPr>
        <w:t>（十一）质疑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_Toc28436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1F6574B">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"_Toc10852" </w:instrText>
      </w:r>
      <w:r>
        <w:rPr>
          <w:color w:val="auto"/>
          <w:highlight w:val="none"/>
        </w:rPr>
        <w:fldChar w:fldCharType="separate"/>
      </w:r>
      <w:r>
        <w:rPr>
          <w:rFonts w:hint="eastAsia" w:ascii="宋体" w:hAnsi="宋体" w:cs="宋体"/>
          <w:b/>
          <w:bCs/>
          <w:color w:val="auto"/>
          <w:sz w:val="24"/>
          <w:szCs w:val="24"/>
          <w:highlight w:val="none"/>
        </w:rPr>
        <w:t>二、采购合同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_Toc10852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16</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19A14C2">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"_Toc26511" </w:instrText>
      </w:r>
      <w:r>
        <w:rPr>
          <w:color w:val="auto"/>
          <w:highlight w:val="none"/>
        </w:rPr>
        <w:fldChar w:fldCharType="separate"/>
      </w:r>
      <w:r>
        <w:rPr>
          <w:rFonts w:hint="eastAsia" w:ascii="宋体" w:hAnsi="宋体" w:cs="宋体"/>
          <w:b/>
          <w:bCs/>
          <w:color w:val="auto"/>
          <w:sz w:val="24"/>
          <w:szCs w:val="24"/>
          <w:highlight w:val="none"/>
        </w:rPr>
        <w:t>三、采购需求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_Toc26511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BCF2A0D">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"_Toc21165" </w:instrText>
      </w:r>
      <w:r>
        <w:rPr>
          <w:color w:val="auto"/>
          <w:highlight w:val="none"/>
        </w:rPr>
        <w:fldChar w:fldCharType="separate"/>
      </w:r>
      <w:r>
        <w:rPr>
          <w:rFonts w:hint="eastAsia" w:ascii="宋体" w:hAnsi="宋体" w:cs="宋体"/>
          <w:b/>
          <w:bCs/>
          <w:color w:val="auto"/>
          <w:sz w:val="24"/>
          <w:szCs w:val="24"/>
          <w:highlight w:val="none"/>
        </w:rPr>
        <w:t>四、评分标准</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_Toc21165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18</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A7CC74D">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"_Toc6567" </w:instrText>
      </w:r>
      <w:r>
        <w:rPr>
          <w:color w:val="auto"/>
          <w:highlight w:val="none"/>
        </w:rPr>
        <w:fldChar w:fldCharType="separate"/>
      </w:r>
      <w:r>
        <w:rPr>
          <w:rFonts w:hint="eastAsia" w:ascii="宋体" w:hAnsi="宋体" w:cs="宋体"/>
          <w:b/>
          <w:bCs/>
          <w:color w:val="auto"/>
          <w:sz w:val="24"/>
          <w:szCs w:val="24"/>
          <w:highlight w:val="none"/>
        </w:rPr>
        <w:t>五、响应文件格式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_Toc6567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0FDC46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cs="宋体"/>
          <w:color w:val="auto"/>
          <w:sz w:val="24"/>
          <w:szCs w:val="24"/>
          <w:highlight w:val="none"/>
        </w:rPr>
        <w:t>附件一 报价单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_Toc26458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868742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"_Toc22931" </w:instrText>
      </w:r>
      <w:r>
        <w:rPr>
          <w:color w:val="auto"/>
          <w:highlight w:val="none"/>
        </w:rPr>
        <w:fldChar w:fldCharType="separate"/>
      </w:r>
      <w:r>
        <w:rPr>
          <w:rFonts w:hint="eastAsia" w:ascii="宋体" w:hAnsi="宋体" w:cs="宋体"/>
          <w:color w:val="auto"/>
          <w:sz w:val="24"/>
          <w:szCs w:val="24"/>
          <w:highlight w:val="none"/>
        </w:rPr>
        <w:t>附件二 供应商基本信息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_Toc22931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2EDBF55">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 </w:instrText>
      </w:r>
      <w:r>
        <w:rPr>
          <w:color w:val="auto"/>
          <w:highlight w:val="none"/>
        </w:rPr>
        <w:fldChar w:fldCharType="separate"/>
      </w:r>
      <w:r>
        <w:rPr>
          <w:rFonts w:hint="eastAsia" w:ascii="宋体" w:hAnsi="宋体" w:cs="宋体"/>
          <w:color w:val="auto"/>
          <w:sz w:val="24"/>
          <w:szCs w:val="24"/>
          <w:highlight w:val="none"/>
        </w:rPr>
        <w:t>附件三 磋商授权书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A8EBC6">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"_Toc11949" </w:instrText>
      </w:r>
      <w:r>
        <w:rPr>
          <w:color w:val="auto"/>
          <w:highlight w:val="none"/>
        </w:rPr>
        <w:fldChar w:fldCharType="separate"/>
      </w:r>
      <w:r>
        <w:rPr>
          <w:rFonts w:hint="eastAsia" w:ascii="宋体" w:hAnsi="宋体" w:cs="宋体"/>
          <w:color w:val="auto"/>
          <w:sz w:val="24"/>
          <w:szCs w:val="24"/>
          <w:highlight w:val="none"/>
        </w:rPr>
        <w:t>附件四 磋商响应函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_Toc11949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77B8E3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"_Toc31586" </w:instrText>
      </w:r>
      <w:r>
        <w:rPr>
          <w:color w:val="auto"/>
          <w:highlight w:val="none"/>
        </w:rPr>
        <w:fldChar w:fldCharType="separate"/>
      </w:r>
      <w:r>
        <w:rPr>
          <w:rFonts w:hint="eastAsia" w:ascii="宋体" w:hAnsi="宋体" w:cs="宋体"/>
          <w:color w:val="auto"/>
          <w:sz w:val="24"/>
          <w:szCs w:val="24"/>
          <w:highlight w:val="none"/>
        </w:rPr>
        <w:t xml:space="preserve">附件五 </w:t>
      </w:r>
      <w:r>
        <w:rPr>
          <w:rFonts w:hint="eastAsia" w:ascii="宋体" w:hAnsi="宋体" w:cs="宋体"/>
          <w:color w:val="auto"/>
          <w:sz w:val="24"/>
          <w:szCs w:val="24"/>
          <w:highlight w:val="none"/>
          <w:lang w:val="zh-CN"/>
        </w:rPr>
        <w:t>无重大违法记录声明函、无不良信用记录承诺函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_Toc31586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F1D54A">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"_Toc30636" </w:instrText>
      </w:r>
      <w:r>
        <w:rPr>
          <w:color w:val="auto"/>
          <w:highlight w:val="none"/>
        </w:rPr>
        <w:fldChar w:fldCharType="separate"/>
      </w:r>
      <w:r>
        <w:rPr>
          <w:rFonts w:hint="eastAsia" w:ascii="宋体" w:hAnsi="宋体" w:cs="宋体"/>
          <w:color w:val="auto"/>
          <w:sz w:val="24"/>
          <w:szCs w:val="24"/>
          <w:highlight w:val="none"/>
        </w:rPr>
        <w:t xml:space="preserve">附件六 </w:t>
      </w:r>
      <w:r>
        <w:rPr>
          <w:rFonts w:hint="eastAsia" w:ascii="宋体" w:hAnsi="宋体" w:cs="宋体"/>
          <w:color w:val="auto"/>
          <w:sz w:val="24"/>
          <w:szCs w:val="24"/>
          <w:highlight w:val="none"/>
          <w:lang w:val="zh-CN"/>
        </w:rPr>
        <w:t>响应情况表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_Toc30636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1A8973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ascii="宋体" w:hAnsi="宋体" w:cs="宋体"/>
          <w:color w:val="auto"/>
          <w:sz w:val="24"/>
          <w:szCs w:val="24"/>
          <w:highlight w:val="none"/>
        </w:rPr>
        <w:t xml:space="preserve">附件七 </w:t>
      </w: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_Toc14930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1B7D050">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ascii="宋体" w:hAnsi="宋体" w:cs="宋体"/>
          <w:color w:val="auto"/>
          <w:sz w:val="24"/>
          <w:szCs w:val="24"/>
          <w:highlight w:val="none"/>
        </w:rPr>
        <w:t xml:space="preserve">附件八 </w:t>
      </w:r>
      <w:r>
        <w:rPr>
          <w:rFonts w:hint="eastAsia" w:ascii="宋体" w:hAnsi="宋体" w:eastAsia="宋体" w:cs="宋体"/>
          <w:color w:val="auto"/>
          <w:sz w:val="24"/>
          <w:szCs w:val="32"/>
          <w:highlight w:val="none"/>
        </w:rPr>
        <w:t>联合体协议</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_Toc13546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F1D4A4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"_Toc9853" </w:instrText>
      </w:r>
      <w:r>
        <w:rPr>
          <w:color w:val="auto"/>
          <w:highlight w:val="none"/>
        </w:rPr>
        <w:fldChar w:fldCharType="separat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磋商文件要求和供应商认为需要提供的其它说明和资料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_Toc9853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BADE94B">
      <w:pPr>
        <w:pStyle w:val="27"/>
        <w:tabs>
          <w:tab w:val="right" w:leader="dot" w:pos="8844"/>
        </w:tabs>
        <w:spacing w:line="42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 xml:space="preserve">   </w:t>
      </w: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二轮报价表</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336BA71B">
      <w:pPr>
        <w:pStyle w:val="27"/>
        <w:tabs>
          <w:tab w:val="right" w:leader="dot" w:pos="8778"/>
        </w:tabs>
        <w:spacing w:line="420" w:lineRule="exact"/>
        <w:ind w:left="0" w:leftChars="0" w:firstLine="560" w:firstLineChars="200"/>
        <w:rPr>
          <w:rFonts w:ascii="宋体" w:hAnsi="宋体" w:cs="宋体"/>
          <w:color w:val="auto"/>
          <w:sz w:val="28"/>
          <w:szCs w:val="28"/>
          <w:highlight w:val="none"/>
          <w:u w:val="single"/>
        </w:rPr>
      </w:pPr>
    </w:p>
    <w:p w14:paraId="1F55798C">
      <w:pPr>
        <w:pStyle w:val="63"/>
        <w:ind w:firstLine="2923" w:firstLineChars="1040"/>
        <w:rPr>
          <w:color w:val="auto"/>
          <w:sz w:val="28"/>
          <w:szCs w:val="28"/>
          <w:highlight w:val="none"/>
        </w:rPr>
      </w:pPr>
      <w:bookmarkStart w:id="0" w:name="_Toc216158623"/>
      <w:bookmarkStart w:id="1" w:name="_Toc363199264"/>
      <w:r>
        <w:rPr>
          <w:rFonts w:hint="eastAsia"/>
          <w:color w:val="auto"/>
          <w:sz w:val="28"/>
          <w:szCs w:val="28"/>
          <w:highlight w:val="none"/>
        </w:rPr>
        <w:br w:type="page"/>
      </w:r>
    </w:p>
    <w:p w14:paraId="4B950844">
      <w:pPr>
        <w:jc w:val="right"/>
        <w:rPr>
          <w:color w:val="auto"/>
          <w:highlight w:val="none"/>
        </w:rPr>
      </w:pPr>
      <w:r>
        <w:rPr>
          <w:rFonts w:hint="eastAsia" w:ascii="仿宋" w:hAnsi="仿宋" w:eastAsia="仿宋" w:cs="仿宋"/>
          <w:color w:val="auto"/>
          <w:kern w:val="2"/>
          <w:sz w:val="28"/>
          <w:szCs w:val="28"/>
          <w:highlight w:val="none"/>
          <w:shd w:val="clear" w:fill="FFFFFF"/>
          <w:lang w:val="en-US" w:eastAsia="zh-CN"/>
        </w:rPr>
        <w:t xml:space="preserve"> </w:t>
      </w:r>
      <w:r>
        <w:rPr>
          <w:rFonts w:hint="eastAsia" w:ascii="仿宋" w:hAnsi="仿宋" w:eastAsia="仿宋" w:cs="仿宋"/>
          <w:color w:val="auto"/>
          <w:kern w:val="2"/>
          <w:sz w:val="28"/>
          <w:szCs w:val="28"/>
          <w:highlight w:val="none"/>
          <w:shd w:val="clear" w:fill="FFFFFF"/>
        </w:rPr>
        <w:t xml:space="preserve">  </w:t>
      </w:r>
    </w:p>
    <w:p w14:paraId="4A43570A">
      <w:pPr>
        <w:pStyle w:val="3"/>
        <w:spacing w:before="156" w:beforeLines="50" w:after="156" w:afterLines="50" w:line="520" w:lineRule="exact"/>
        <w:jc w:val="center"/>
        <w:rPr>
          <w:rFonts w:ascii="黑体" w:hAnsi="宋体" w:cs="黑体"/>
          <w:b w:val="0"/>
          <w:sz w:val="28"/>
          <w:szCs w:val="28"/>
          <w:shd w:val="clear" w:color="auto" w:fill="FFFFFF"/>
        </w:rPr>
      </w:pPr>
      <w:r>
        <w:rPr>
          <w:rFonts w:hint="eastAsia" w:ascii="黑体" w:hAnsi="黑体" w:cs="黑体"/>
          <w:b w:val="0"/>
          <w:bCs/>
          <w:sz w:val="44"/>
          <w:szCs w:val="44"/>
          <w:lang w:val="en-US" w:eastAsia="zh-CN"/>
        </w:rPr>
        <w:t>金安区妇幼保健院药品耗材追溯码应用开发服务项目</w:t>
      </w:r>
      <w:r>
        <w:rPr>
          <w:rFonts w:hint="eastAsia" w:ascii="黑体" w:hAnsi="黑体" w:cs="黑体"/>
          <w:b w:val="0"/>
          <w:bCs/>
          <w:sz w:val="44"/>
          <w:szCs w:val="44"/>
        </w:rPr>
        <w:t>竞争性磋商采购公告</w:t>
      </w:r>
    </w:p>
    <w:p w14:paraId="1DB1CD8C">
      <w:pPr>
        <w:pStyle w:val="3"/>
        <w:keepNext w:val="0"/>
        <w:keepLines w:val="0"/>
        <w:widowControl/>
        <w:spacing w:before="0" w:after="0" w:line="520" w:lineRule="atLeast"/>
        <w:rPr>
          <w:rFonts w:ascii="微软雅黑" w:hAnsi="微软雅黑" w:eastAsia="微软雅黑" w:cs="微软雅黑"/>
          <w:b w:val="0"/>
          <w:sz w:val="21"/>
          <w:szCs w:val="21"/>
        </w:rPr>
      </w:pPr>
      <w:r>
        <w:rPr>
          <w:rFonts w:ascii="黑体" w:hAnsi="宋体" w:cs="黑体"/>
          <w:b w:val="0"/>
          <w:sz w:val="28"/>
          <w:szCs w:val="28"/>
          <w:shd w:val="clear" w:color="auto" w:fill="FFFFFF"/>
        </w:rPr>
        <w:t>一、项目基本情况</w:t>
      </w:r>
    </w:p>
    <w:p w14:paraId="352F5A24">
      <w:pPr>
        <w:widowControl/>
        <w:spacing w:line="520" w:lineRule="atLeast"/>
        <w:ind w:firstLine="560"/>
        <w:jc w:val="left"/>
        <w:rPr>
          <w:rFonts w:hint="default" w:ascii="仿宋" w:hAnsi="仿宋" w:eastAsia="仿宋" w:cs="仿宋"/>
          <w:kern w:val="0"/>
          <w:sz w:val="28"/>
          <w:szCs w:val="28"/>
          <w:highlight w:val="none"/>
          <w:shd w:val="clear" w:color="auto" w:fill="FFFFFF"/>
          <w:lang w:val="en-US"/>
        </w:rPr>
      </w:pPr>
      <w:r>
        <w:rPr>
          <w:rFonts w:hint="eastAsia" w:ascii="仿宋" w:hAnsi="仿宋" w:eastAsia="仿宋" w:cs="仿宋"/>
          <w:kern w:val="0"/>
          <w:sz w:val="28"/>
          <w:szCs w:val="28"/>
          <w:highlight w:val="none"/>
          <w:shd w:val="clear" w:color="auto" w:fill="FFFFFF"/>
        </w:rPr>
        <w:t>1、项目编号：JAFY-2025-003</w:t>
      </w:r>
    </w:p>
    <w:p w14:paraId="2567CEEB">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2、项目名称：</w:t>
      </w:r>
      <w:r>
        <w:rPr>
          <w:rFonts w:hint="eastAsia" w:ascii="仿宋" w:hAnsi="仿宋" w:eastAsia="仿宋" w:cs="仿宋"/>
          <w:kern w:val="0"/>
          <w:sz w:val="28"/>
          <w:szCs w:val="28"/>
          <w:highlight w:val="none"/>
          <w:shd w:val="clear" w:color="auto" w:fill="FFFFFF"/>
          <w:lang w:val="en-US" w:eastAsia="zh-CN"/>
        </w:rPr>
        <w:t>金安区妇幼保健院药品耗材追溯码应用开发服务项目</w:t>
      </w:r>
    </w:p>
    <w:p w14:paraId="13318038">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3、项目类型：服务类</w:t>
      </w:r>
    </w:p>
    <w:p w14:paraId="769608E0">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4、采购方式：竞争性磋商</w:t>
      </w:r>
    </w:p>
    <w:p w14:paraId="7A9C4C0C">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5、预算金额：</w:t>
      </w:r>
      <w:r>
        <w:rPr>
          <w:rFonts w:hint="eastAsia" w:ascii="仿宋" w:hAnsi="仿宋" w:eastAsia="仿宋" w:cs="仿宋"/>
          <w:kern w:val="0"/>
          <w:sz w:val="28"/>
          <w:szCs w:val="28"/>
          <w:highlight w:val="none"/>
          <w:shd w:val="clear" w:color="auto" w:fill="FFFFFF"/>
          <w:lang w:val="en-US" w:eastAsia="zh-CN"/>
        </w:rPr>
        <w:t>15万元</w:t>
      </w:r>
    </w:p>
    <w:p w14:paraId="5A46B5FD">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6、最高限价：</w:t>
      </w:r>
      <w:r>
        <w:rPr>
          <w:rFonts w:hint="eastAsia" w:ascii="仿宋" w:hAnsi="仿宋" w:eastAsia="仿宋" w:cs="仿宋"/>
          <w:kern w:val="0"/>
          <w:sz w:val="28"/>
          <w:szCs w:val="28"/>
          <w:highlight w:val="none"/>
          <w:shd w:val="clear" w:color="auto" w:fill="FFFFFF"/>
          <w:lang w:val="en-US" w:eastAsia="zh-CN"/>
        </w:rPr>
        <w:t>15万元</w:t>
      </w:r>
    </w:p>
    <w:p w14:paraId="1353D4AC">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7、采购需求：为响应</w:t>
      </w:r>
      <w:r>
        <w:rPr>
          <w:rFonts w:hint="eastAsia" w:ascii="仿宋" w:hAnsi="仿宋" w:eastAsia="仿宋" w:cs="仿宋"/>
          <w:kern w:val="0"/>
          <w:sz w:val="28"/>
          <w:szCs w:val="28"/>
          <w:highlight w:val="none"/>
          <w:shd w:val="clear" w:color="auto" w:fill="FFFFFF"/>
          <w:lang w:val="en-US" w:eastAsia="zh-CN"/>
        </w:rPr>
        <w:t>国家</w:t>
      </w:r>
      <w:r>
        <w:rPr>
          <w:rFonts w:hint="eastAsia" w:ascii="仿宋" w:hAnsi="仿宋" w:eastAsia="仿宋" w:cs="仿宋"/>
          <w:kern w:val="0"/>
          <w:sz w:val="28"/>
          <w:szCs w:val="28"/>
          <w:highlight w:val="none"/>
          <w:shd w:val="clear" w:color="auto" w:fill="FFFFFF"/>
        </w:rPr>
        <w:t>医保局政策，确保“依码结算、依码支付”的顺利实施，本项目旨在采购</w:t>
      </w:r>
      <w:r>
        <w:rPr>
          <w:rFonts w:hint="eastAsia" w:ascii="仿宋" w:hAnsi="仿宋" w:eastAsia="仿宋" w:cs="仿宋"/>
          <w:kern w:val="0"/>
          <w:sz w:val="28"/>
          <w:szCs w:val="28"/>
          <w:highlight w:val="none"/>
          <w:shd w:val="clear" w:color="auto" w:fill="FFFFFF"/>
          <w:lang w:eastAsia="zh-CN"/>
        </w:rPr>
        <w:t>药品耗材追溯码应用开发服务</w:t>
      </w:r>
      <w:r>
        <w:rPr>
          <w:rFonts w:hint="eastAsia" w:ascii="仿宋" w:hAnsi="仿宋" w:eastAsia="仿宋" w:cs="仿宋"/>
          <w:kern w:val="0"/>
          <w:sz w:val="28"/>
          <w:szCs w:val="28"/>
          <w:highlight w:val="none"/>
          <w:shd w:val="clear" w:color="auto" w:fill="FFFFFF"/>
        </w:rPr>
        <w:t>，以提升医院药品</w:t>
      </w:r>
      <w:r>
        <w:rPr>
          <w:rFonts w:hint="eastAsia" w:ascii="仿宋" w:hAnsi="仿宋" w:eastAsia="仿宋" w:cs="仿宋"/>
          <w:kern w:val="0"/>
          <w:sz w:val="28"/>
          <w:szCs w:val="28"/>
          <w:highlight w:val="none"/>
          <w:shd w:val="clear" w:color="auto" w:fill="FFFFFF"/>
          <w:lang w:val="en-US" w:eastAsia="zh-CN"/>
        </w:rPr>
        <w:t>耗材</w:t>
      </w:r>
      <w:r>
        <w:rPr>
          <w:rFonts w:hint="eastAsia" w:ascii="仿宋" w:hAnsi="仿宋" w:eastAsia="仿宋" w:cs="仿宋"/>
          <w:kern w:val="0"/>
          <w:sz w:val="28"/>
          <w:szCs w:val="28"/>
          <w:highlight w:val="none"/>
          <w:shd w:val="clear" w:color="auto" w:fill="FFFFFF"/>
        </w:rPr>
        <w:t>管理的信息化水平，保障医保基金的有效结算与预付。</w:t>
      </w:r>
      <w:r>
        <w:rPr>
          <w:rFonts w:hint="eastAsia" w:ascii="仿宋" w:hAnsi="仿宋" w:eastAsia="仿宋" w:cs="仿宋"/>
          <w:kern w:val="0"/>
          <w:sz w:val="28"/>
          <w:szCs w:val="28"/>
          <w:highlight w:val="none"/>
          <w:shd w:val="clear" w:color="auto" w:fill="FFFFFF"/>
          <w:lang w:val="en-US" w:eastAsia="zh-CN"/>
        </w:rPr>
        <w:t>具体详见采购需求</w:t>
      </w:r>
      <w:r>
        <w:rPr>
          <w:rFonts w:hint="eastAsia" w:ascii="仿宋" w:hAnsi="仿宋" w:eastAsia="仿宋" w:cs="仿宋"/>
          <w:kern w:val="0"/>
          <w:sz w:val="28"/>
          <w:szCs w:val="28"/>
          <w:highlight w:val="none"/>
          <w:shd w:val="clear" w:color="auto" w:fill="FFFFFF"/>
        </w:rPr>
        <w:t>。</w:t>
      </w:r>
    </w:p>
    <w:p w14:paraId="7ACEE26C">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8、合同履行期限：</w:t>
      </w:r>
      <w:r>
        <w:rPr>
          <w:rFonts w:hint="eastAsia" w:ascii="仿宋" w:hAnsi="仿宋" w:eastAsia="仿宋" w:cs="仿宋"/>
          <w:kern w:val="0"/>
          <w:sz w:val="28"/>
          <w:szCs w:val="28"/>
          <w:highlight w:val="none"/>
          <w:shd w:val="clear" w:color="auto" w:fill="FFFFFF"/>
          <w:lang w:eastAsia="zh-CN"/>
        </w:rPr>
        <w:t>自合同签订之日起30个日历天内完成全部服务内容。</w:t>
      </w:r>
    </w:p>
    <w:p w14:paraId="7FF9453F">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9、是否接受联合体：本项目不接受联合体。</w:t>
      </w:r>
      <w:bookmarkStart w:id="2" w:name="_Toc8072"/>
      <w:bookmarkEnd w:id="2"/>
      <w:bookmarkStart w:id="3" w:name="_Toc35393799"/>
      <w:bookmarkStart w:id="4" w:name="_Toc28359090"/>
      <w:bookmarkStart w:id="5" w:name="_Toc28359013"/>
      <w:bookmarkStart w:id="6" w:name="_Toc35393630"/>
    </w:p>
    <w:p w14:paraId="784C8673">
      <w:pPr>
        <w:pStyle w:val="3"/>
        <w:keepNext w:val="0"/>
        <w:keepLines w:val="0"/>
        <w:widowControl/>
        <w:spacing w:before="0" w:after="0" w:line="520" w:lineRule="atLeast"/>
        <w:rPr>
          <w:rFonts w:ascii="黑体" w:hAnsi="宋体" w:cs="黑体"/>
          <w:b w:val="0"/>
          <w:sz w:val="28"/>
          <w:szCs w:val="28"/>
          <w:shd w:val="clear" w:color="auto" w:fill="FFFFFF"/>
        </w:rPr>
      </w:pPr>
      <w:r>
        <w:rPr>
          <w:rFonts w:hint="eastAsia" w:ascii="黑体" w:hAnsi="宋体" w:cs="黑体"/>
          <w:b w:val="0"/>
          <w:sz w:val="28"/>
          <w:szCs w:val="28"/>
          <w:shd w:val="clear" w:color="auto" w:fill="FFFFFF"/>
        </w:rPr>
        <w:t>二、申请人的资格要求</w:t>
      </w:r>
      <w:bookmarkEnd w:id="3"/>
      <w:bookmarkEnd w:id="4"/>
      <w:bookmarkEnd w:id="5"/>
      <w:bookmarkEnd w:id="6"/>
    </w:p>
    <w:p w14:paraId="74F4CEA8">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1、满足《中华人民共和国政府采购法》第二十二条规定；</w:t>
      </w:r>
    </w:p>
    <w:p w14:paraId="65237700">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2、落实政府采购政策需满足的资格要求：</w:t>
      </w:r>
      <w:r>
        <w:rPr>
          <w:rFonts w:hint="eastAsia" w:ascii="仿宋" w:hAnsi="仿宋" w:eastAsia="仿宋" w:cs="仿宋"/>
          <w:kern w:val="0"/>
          <w:sz w:val="28"/>
          <w:szCs w:val="28"/>
          <w:highlight w:val="none"/>
          <w:shd w:val="clear" w:color="auto" w:fill="FFFFFF"/>
          <w:lang w:eastAsia="zh-CN"/>
        </w:rPr>
        <w:t>本项目为专门面向中小企业采购的项目，供应商须为中小微企业，同时落实监狱企业、残疾人福利性单位扶持政策</w:t>
      </w:r>
      <w:r>
        <w:rPr>
          <w:rFonts w:hint="eastAsia" w:ascii="仿宋" w:hAnsi="仿宋" w:eastAsia="仿宋" w:cs="仿宋"/>
          <w:kern w:val="0"/>
          <w:sz w:val="28"/>
          <w:szCs w:val="28"/>
          <w:highlight w:val="none"/>
          <w:shd w:val="clear" w:color="auto" w:fill="FFFFFF"/>
          <w:lang w:val="en-US" w:eastAsia="zh-CN"/>
        </w:rPr>
        <w:t>；</w:t>
      </w:r>
    </w:p>
    <w:p w14:paraId="484C2DB0">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3、本项目的特定资格要求：无。</w:t>
      </w:r>
    </w:p>
    <w:p w14:paraId="2D4DA8D3">
      <w:pPr>
        <w:pStyle w:val="3"/>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三、获取采购文件</w:t>
      </w:r>
    </w:p>
    <w:p w14:paraId="5AE1E959">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1、时间：自公告发布之日起至开标时间前</w:t>
      </w:r>
      <w:bookmarkStart w:id="106" w:name="_GoBack"/>
      <w:bookmarkEnd w:id="106"/>
    </w:p>
    <w:p w14:paraId="0F74E52E">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2、地点：六安市金安区妇幼保健院官网公告栏。</w:t>
      </w:r>
    </w:p>
    <w:p w14:paraId="1D6C0CE4">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3、方式：网上下载。</w:t>
      </w:r>
    </w:p>
    <w:p w14:paraId="3AD74BE3">
      <w:pPr>
        <w:pStyle w:val="3"/>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四、响应文件提交</w:t>
      </w:r>
    </w:p>
    <w:p w14:paraId="3AC3DD78">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1、截止时间：</w:t>
      </w: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 xml:space="preserve"> 11 </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 xml:space="preserve">28 </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 xml:space="preserve"> 15时00</w:t>
      </w:r>
      <w:r>
        <w:rPr>
          <w:rFonts w:hint="eastAsia" w:ascii="仿宋" w:hAnsi="仿宋" w:eastAsia="仿宋" w:cs="仿宋"/>
          <w:kern w:val="0"/>
          <w:sz w:val="28"/>
          <w:szCs w:val="28"/>
          <w:highlight w:val="none"/>
          <w:shd w:val="clear" w:color="auto" w:fill="FFFFFF"/>
        </w:rPr>
        <w:t>分（北京时间）</w:t>
      </w:r>
    </w:p>
    <w:p w14:paraId="5314145A">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2、地点：</w:t>
      </w:r>
      <w:bookmarkStart w:id="7" w:name="_Toc25100"/>
      <w:bookmarkEnd w:id="7"/>
      <w:bookmarkStart w:id="8" w:name="_Toc35393633"/>
      <w:bookmarkEnd w:id="8"/>
      <w:bookmarkStart w:id="9" w:name="_Toc28359093"/>
      <w:bookmarkEnd w:id="9"/>
      <w:bookmarkStart w:id="10" w:name="_Toc28359016"/>
      <w:bookmarkEnd w:id="10"/>
      <w:bookmarkStart w:id="11" w:name="_Toc35393802"/>
      <w:r>
        <w:rPr>
          <w:rFonts w:hint="eastAsia" w:ascii="仿宋" w:hAnsi="仿宋" w:eastAsia="仿宋" w:cs="仿宋"/>
          <w:kern w:val="0"/>
          <w:sz w:val="28"/>
          <w:szCs w:val="28"/>
          <w:highlight w:val="none"/>
          <w:shd w:val="clear" w:color="auto" w:fill="FFFFFF"/>
          <w:lang w:val="en-US" w:eastAsia="zh-CN"/>
        </w:rPr>
        <w:t>六安市金安区妇幼保健院1号楼14楼小会议室。</w:t>
      </w:r>
    </w:p>
    <w:p w14:paraId="79615ADE">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3、响应文件提交方式：响应文件应在提交截止时间前现场递交纸质响应文件，否则不予接收。</w:t>
      </w:r>
    </w:p>
    <w:bookmarkEnd w:id="11"/>
    <w:p w14:paraId="75DD33B8">
      <w:pPr>
        <w:pStyle w:val="3"/>
        <w:keepNext w:val="0"/>
        <w:keepLines w:val="0"/>
        <w:widowControl/>
        <w:spacing w:before="0" w:after="0" w:line="500" w:lineRule="exact"/>
        <w:rPr>
          <w:rFonts w:hint="eastAsia" w:ascii="黑体" w:hAnsi="宋体" w:cs="黑体"/>
          <w:b w:val="0"/>
          <w:sz w:val="28"/>
          <w:szCs w:val="28"/>
          <w:shd w:val="clear" w:color="auto" w:fill="FFFFFF"/>
          <w:lang w:val="en-US" w:eastAsia="zh-CN"/>
        </w:rPr>
      </w:pPr>
      <w:bookmarkStart w:id="12" w:name="_Toc35393803"/>
      <w:r>
        <w:rPr>
          <w:rFonts w:hint="eastAsia" w:ascii="黑体" w:hAnsi="宋体" w:cs="黑体"/>
          <w:b w:val="0"/>
          <w:sz w:val="28"/>
          <w:szCs w:val="28"/>
          <w:shd w:val="clear" w:color="auto" w:fill="FFFFFF"/>
          <w:lang w:val="en-US" w:eastAsia="zh-CN"/>
        </w:rPr>
        <w:t>五、响应文件开启</w:t>
      </w:r>
    </w:p>
    <w:p w14:paraId="296F34FB">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1、时间：</w:t>
      </w:r>
      <w:r>
        <w:rPr>
          <w:rFonts w:hint="eastAsia" w:ascii="仿宋" w:hAnsi="仿宋" w:eastAsia="仿宋" w:cs="仿宋"/>
          <w:kern w:val="0"/>
          <w:sz w:val="28"/>
          <w:szCs w:val="28"/>
          <w:highlight w:val="none"/>
          <w:shd w:val="clear" w:color="auto" w:fill="FFFFFF"/>
        </w:rPr>
        <w:t>：</w:t>
      </w: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 xml:space="preserve"> 11 </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 xml:space="preserve"> 28 </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 xml:space="preserve"> 15 时00</w:t>
      </w:r>
      <w:r>
        <w:rPr>
          <w:rFonts w:hint="eastAsia" w:ascii="仿宋" w:hAnsi="仿宋" w:eastAsia="仿宋" w:cs="仿宋"/>
          <w:kern w:val="0"/>
          <w:sz w:val="28"/>
          <w:szCs w:val="28"/>
          <w:highlight w:val="none"/>
          <w:shd w:val="clear" w:color="auto" w:fill="FFFFFF"/>
        </w:rPr>
        <w:t>分</w:t>
      </w:r>
      <w:r>
        <w:rPr>
          <w:rFonts w:hint="eastAsia" w:ascii="仿宋" w:hAnsi="仿宋" w:eastAsia="仿宋" w:cs="仿宋"/>
          <w:kern w:val="0"/>
          <w:sz w:val="28"/>
          <w:szCs w:val="28"/>
          <w:highlight w:val="none"/>
          <w:shd w:val="clear" w:color="auto" w:fill="FFFFFF"/>
          <w:lang w:val="en-US" w:eastAsia="zh-CN"/>
        </w:rPr>
        <w:t>（北京时间）</w:t>
      </w:r>
    </w:p>
    <w:p w14:paraId="2947B85D">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2、地点：六安市金安区妇幼保健院1号楼14楼小会议室。</w:t>
      </w:r>
    </w:p>
    <w:p w14:paraId="01A86D54">
      <w:pPr>
        <w:pStyle w:val="3"/>
        <w:keepNext w:val="0"/>
        <w:keepLines w:val="0"/>
        <w:widowControl/>
        <w:spacing w:before="0" w:after="0" w:line="500" w:lineRule="exact"/>
        <w:rPr>
          <w:rFonts w:hint="eastAsia" w:ascii="黑体" w:hAnsi="宋体" w:cs="黑体"/>
          <w:b w:val="0"/>
          <w:sz w:val="28"/>
          <w:szCs w:val="28"/>
          <w:shd w:val="clear" w:color="auto" w:fill="FFFFFF"/>
          <w:lang w:val="en-US" w:eastAsia="zh-CN"/>
        </w:rPr>
      </w:pPr>
      <w:r>
        <w:rPr>
          <w:rFonts w:hint="eastAsia" w:ascii="黑体" w:hAnsi="宋体" w:cs="黑体"/>
          <w:b w:val="0"/>
          <w:sz w:val="28"/>
          <w:szCs w:val="28"/>
          <w:shd w:val="clear" w:color="auto" w:fill="FFFFFF"/>
          <w:lang w:val="en-US" w:eastAsia="zh-CN"/>
        </w:rPr>
        <w:t>六、公告期限</w:t>
      </w:r>
    </w:p>
    <w:p w14:paraId="6DCF628C">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自本公告发布之日起5个工作日。</w:t>
      </w:r>
    </w:p>
    <w:bookmarkEnd w:id="12"/>
    <w:p w14:paraId="49841BA7">
      <w:pPr>
        <w:pStyle w:val="3"/>
        <w:keepNext w:val="0"/>
        <w:keepLines w:val="0"/>
        <w:widowControl/>
        <w:spacing w:before="0" w:after="0" w:line="44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lang w:val="en-US" w:eastAsia="zh-CN"/>
        </w:rPr>
        <w:t>七</w:t>
      </w:r>
      <w:r>
        <w:rPr>
          <w:rFonts w:hint="eastAsia" w:ascii="黑体" w:hAnsi="宋体" w:cs="黑体"/>
          <w:b w:val="0"/>
          <w:sz w:val="28"/>
          <w:szCs w:val="28"/>
          <w:shd w:val="clear" w:color="auto" w:fill="FFFFFF"/>
        </w:rPr>
        <w:t>、凡对本次招标提出询问，请按以下方式联系。</w:t>
      </w:r>
    </w:p>
    <w:p w14:paraId="644C4690">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采购人信息</w:t>
      </w:r>
    </w:p>
    <w:p w14:paraId="09BBFF0D">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名    称：六安市金安区妇幼保健院</w:t>
      </w:r>
    </w:p>
    <w:p w14:paraId="5292382C">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地    址：六安市长安北路北路1123号</w:t>
      </w:r>
    </w:p>
    <w:p w14:paraId="57A2C10A">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联系方式：0564-3597152</w:t>
      </w:r>
    </w:p>
    <w:p w14:paraId="0FCA0EB5">
      <w:pPr>
        <w:pStyle w:val="33"/>
        <w:ind w:left="0" w:leftChars="0" w:firstLine="0" w:firstLineChars="0"/>
        <w:jc w:val="both"/>
        <w:rPr>
          <w:rFonts w:hint="eastAsia" w:ascii="仿宋" w:hAnsi="仿宋" w:eastAsia="仿宋" w:cs="仿宋"/>
          <w:kern w:val="0"/>
          <w:sz w:val="28"/>
          <w:szCs w:val="28"/>
          <w:highlight w:val="none"/>
          <w:shd w:val="clear" w:color="auto" w:fill="FFFFFF"/>
          <w:lang w:val="en-US" w:eastAsia="zh-CN"/>
        </w:rPr>
      </w:pPr>
    </w:p>
    <w:p w14:paraId="0CE83469">
      <w:pPr>
        <w:pStyle w:val="33"/>
        <w:jc w:val="right"/>
        <w:rPr>
          <w:rFonts w:hint="eastAsia" w:ascii="仿宋" w:hAnsi="仿宋" w:eastAsia="仿宋" w:cs="仿宋"/>
          <w:kern w:val="0"/>
          <w:sz w:val="28"/>
          <w:szCs w:val="28"/>
          <w:highlight w:val="none"/>
          <w:shd w:val="clear" w:color="auto" w:fill="FFFFFF"/>
          <w:lang w:val="en-US" w:eastAsia="zh-CN"/>
        </w:rPr>
      </w:pPr>
    </w:p>
    <w:p w14:paraId="2E788FBA">
      <w:pPr>
        <w:pStyle w:val="33"/>
        <w:ind w:left="0" w:leftChars="0" w:firstLine="0" w:firstLineChars="0"/>
        <w:jc w:val="right"/>
        <w:rPr>
          <w:rFonts w:hint="default" w:ascii="宋体" w:hAnsi="宋体" w:eastAsia="仿宋" w:cs="宋体"/>
          <w:sz w:val="28"/>
          <w:szCs w:val="28"/>
          <w:lang w:val="en-US" w:eastAsia="zh-CN"/>
        </w:rPr>
      </w:pP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 xml:space="preserve"> 11 </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 xml:space="preserve"> 21 日</w:t>
      </w:r>
    </w:p>
    <w:p w14:paraId="3C9A5491">
      <w:pPr>
        <w:rPr>
          <w:rFonts w:hint="eastAsia" w:ascii="仿宋" w:hAnsi="仿宋" w:eastAsia="仿宋" w:cs="仿宋"/>
          <w:color w:val="auto"/>
          <w:sz w:val="28"/>
          <w:szCs w:val="28"/>
          <w:highlight w:val="none"/>
        </w:rPr>
      </w:pPr>
      <w:r>
        <w:rPr>
          <w:rFonts w:hint="eastAsia" w:ascii="宋体" w:hAnsi="宋体" w:eastAsia="宋体" w:cs="宋体"/>
          <w:sz w:val="28"/>
          <w:szCs w:val="28"/>
        </w:rPr>
        <w:br w:type="page"/>
      </w:r>
    </w:p>
    <w:p w14:paraId="22490898">
      <w:pPr>
        <w:pStyle w:val="3"/>
        <w:spacing w:before="120" w:beforeLines="50" w:after="120" w:afterLines="50" w:line="560" w:lineRule="exact"/>
        <w:jc w:val="center"/>
        <w:rPr>
          <w:rFonts w:ascii="宋体" w:hAnsi="宋体" w:eastAsia="宋体" w:cs="宋体"/>
          <w:color w:val="auto"/>
          <w:sz w:val="28"/>
          <w:szCs w:val="28"/>
          <w:highlight w:val="none"/>
        </w:rPr>
      </w:pPr>
      <w:bookmarkStart w:id="13" w:name="_Toc15193"/>
      <w:r>
        <w:rPr>
          <w:rFonts w:hint="eastAsia" w:ascii="宋体" w:hAnsi="宋体" w:eastAsia="宋体" w:cs="宋体"/>
          <w:color w:val="auto"/>
          <w:sz w:val="28"/>
          <w:szCs w:val="28"/>
          <w:highlight w:val="none"/>
        </w:rPr>
        <w:t>一、供应商须知</w:t>
      </w:r>
      <w:bookmarkEnd w:id="0"/>
      <w:bookmarkEnd w:id="1"/>
      <w:bookmarkEnd w:id="13"/>
    </w:p>
    <w:p w14:paraId="1D3D8E5F">
      <w:pPr>
        <w:pStyle w:val="3"/>
        <w:spacing w:before="0" w:after="0" w:line="560" w:lineRule="exact"/>
        <w:jc w:val="center"/>
        <w:rPr>
          <w:rFonts w:ascii="宋体" w:hAnsi="宋体" w:eastAsia="宋体" w:cs="宋体"/>
          <w:color w:val="auto"/>
          <w:sz w:val="24"/>
          <w:szCs w:val="24"/>
          <w:highlight w:val="none"/>
        </w:rPr>
      </w:pPr>
      <w:bookmarkStart w:id="14" w:name="_Toc30170"/>
      <w:r>
        <w:rPr>
          <w:rFonts w:hint="eastAsia" w:ascii="宋体" w:hAnsi="宋体" w:eastAsia="宋体" w:cs="宋体"/>
          <w:color w:val="auto"/>
          <w:sz w:val="24"/>
          <w:szCs w:val="24"/>
          <w:highlight w:val="none"/>
        </w:rPr>
        <w:t>（一）须知前附表</w:t>
      </w:r>
      <w:bookmarkEnd w:id="14"/>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17"/>
        <w:gridCol w:w="1689"/>
        <w:gridCol w:w="7308"/>
      </w:tblGrid>
      <w:tr w14:paraId="2C9E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40F1DF72">
            <w:pPr>
              <w:spacing w:line="440" w:lineRule="exact"/>
              <w:jc w:val="center"/>
              <w:rPr>
                <w:rFonts w:ascii="宋体" w:hAnsi="宋体"/>
                <w:b/>
                <w:color w:val="auto"/>
                <w:sz w:val="24"/>
                <w:szCs w:val="24"/>
                <w:highlight w:val="none"/>
              </w:rPr>
            </w:pPr>
            <w:bookmarkStart w:id="15" w:name="_Toc438107743"/>
            <w:bookmarkStart w:id="16" w:name="_Toc363199267"/>
            <w:bookmarkStart w:id="17" w:name="_Toc216158627"/>
            <w:r>
              <w:rPr>
                <w:rFonts w:hint="eastAsia" w:ascii="宋体" w:hAnsi="宋体"/>
                <w:b/>
                <w:color w:val="auto"/>
                <w:sz w:val="24"/>
                <w:szCs w:val="24"/>
                <w:highlight w:val="none"/>
              </w:rPr>
              <w:t>序号</w:t>
            </w:r>
          </w:p>
        </w:tc>
        <w:tc>
          <w:tcPr>
            <w:tcW w:w="1689" w:type="dxa"/>
            <w:vAlign w:val="center"/>
          </w:tcPr>
          <w:p w14:paraId="30E4D4BE">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00E81AD8">
            <w:pPr>
              <w:pStyle w:val="96"/>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67F0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617" w:type="dxa"/>
            <w:vAlign w:val="center"/>
          </w:tcPr>
          <w:p w14:paraId="12E1F1E9">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689" w:type="dxa"/>
            <w:vAlign w:val="center"/>
          </w:tcPr>
          <w:p w14:paraId="29347D5F">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1AD58E02">
            <w:pPr>
              <w:spacing w:line="440" w:lineRule="exact"/>
              <w:rPr>
                <w:rFonts w:hint="eastAsia" w:eastAsia="宋体"/>
                <w:color w:val="auto"/>
                <w:sz w:val="24"/>
                <w:szCs w:val="24"/>
                <w:highlight w:val="none"/>
                <w:lang w:eastAsia="zh-CN"/>
              </w:rPr>
            </w:pPr>
            <w:r>
              <w:rPr>
                <w:rFonts w:hint="eastAsia"/>
                <w:color w:val="auto"/>
                <w:sz w:val="24"/>
                <w:szCs w:val="24"/>
                <w:highlight w:val="none"/>
                <w:lang w:eastAsia="zh-CN"/>
              </w:rPr>
              <w:t>六安市金安区妇幼保健院</w:t>
            </w:r>
          </w:p>
        </w:tc>
      </w:tr>
      <w:tr w14:paraId="4C3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2866EF26">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2</w:t>
            </w:r>
          </w:p>
        </w:tc>
        <w:tc>
          <w:tcPr>
            <w:tcW w:w="1689" w:type="dxa"/>
            <w:vAlign w:val="center"/>
          </w:tcPr>
          <w:p w14:paraId="6AD7574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308" w:type="dxa"/>
            <w:vAlign w:val="center"/>
          </w:tcPr>
          <w:p w14:paraId="12759FDA">
            <w:pPr>
              <w:pStyle w:val="96"/>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02A5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F814B15">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3</w:t>
            </w:r>
          </w:p>
        </w:tc>
        <w:tc>
          <w:tcPr>
            <w:tcW w:w="1689" w:type="dxa"/>
            <w:vAlign w:val="center"/>
          </w:tcPr>
          <w:p w14:paraId="4F2A15A7">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244D8D2E">
            <w:pPr>
              <w:pStyle w:val="96"/>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lang w:eastAsia="zh-CN"/>
              </w:rPr>
              <w:t>服务</w:t>
            </w:r>
            <w:r>
              <w:rPr>
                <w:rFonts w:hint="eastAsia"/>
                <w:b w:val="0"/>
                <w:bCs w:val="0"/>
                <w:color w:val="auto"/>
                <w:sz w:val="24"/>
                <w:szCs w:val="24"/>
                <w:highlight w:val="none"/>
              </w:rPr>
              <w:t>类</w:t>
            </w:r>
          </w:p>
        </w:tc>
      </w:tr>
      <w:tr w14:paraId="20AC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4DAB20BF">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689" w:type="dxa"/>
            <w:vAlign w:val="center"/>
          </w:tcPr>
          <w:p w14:paraId="1D9019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139DAB67">
            <w:pPr>
              <w:pStyle w:val="96"/>
              <w:widowControl w:val="0"/>
              <w:spacing w:before="0" w:beforeAutospacing="0" w:after="0" w:afterAutospacing="0" w:line="440" w:lineRule="exact"/>
              <w:jc w:val="both"/>
              <w:rPr>
                <w:rFonts w:hint="eastAsia" w:eastAsia="宋体"/>
                <w:color w:val="auto"/>
                <w:sz w:val="24"/>
                <w:szCs w:val="24"/>
                <w:highlight w:val="none"/>
                <w:lang w:val="en-US" w:eastAsia="zh-CN"/>
              </w:rPr>
            </w:pPr>
            <w:r>
              <w:rPr>
                <w:rFonts w:hint="eastAsia" w:cs="Times New Roman"/>
                <w:b w:val="0"/>
                <w:bCs w:val="0"/>
                <w:color w:val="auto"/>
                <w:sz w:val="24"/>
                <w:szCs w:val="24"/>
                <w:highlight w:val="none"/>
                <w:lang w:val="en-US" w:eastAsia="zh-CN"/>
              </w:rPr>
              <w:t>金安区妇幼保健院药品耗材追溯码应用开发服务项目</w:t>
            </w:r>
          </w:p>
        </w:tc>
      </w:tr>
      <w:tr w14:paraId="2EB8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617" w:type="dxa"/>
            <w:vAlign w:val="center"/>
          </w:tcPr>
          <w:p w14:paraId="47D2867B">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689" w:type="dxa"/>
            <w:vAlign w:val="center"/>
          </w:tcPr>
          <w:p w14:paraId="063A2603">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6946C17E">
            <w:pPr>
              <w:pStyle w:val="96"/>
              <w:widowControl w:val="0"/>
              <w:spacing w:before="0" w:beforeAutospacing="0" w:after="0" w:afterAutospacing="0" w:line="440" w:lineRule="exact"/>
              <w:jc w:val="both"/>
              <w:rPr>
                <w:rFonts w:hint="default" w:eastAsia="宋体"/>
                <w:color w:val="auto"/>
                <w:sz w:val="24"/>
                <w:szCs w:val="24"/>
                <w:highlight w:val="none"/>
                <w:lang w:val="en-US" w:eastAsia="zh-CN"/>
              </w:rPr>
            </w:pPr>
            <w:r>
              <w:rPr>
                <w:rFonts w:hint="default" w:cs="Times New Roman"/>
                <w:b w:val="0"/>
                <w:bCs w:val="0"/>
                <w:color w:val="auto"/>
                <w:sz w:val="24"/>
                <w:szCs w:val="24"/>
                <w:highlight w:val="none"/>
                <w:lang w:val="en-US" w:eastAsia="zh-CN"/>
              </w:rPr>
              <w:t>JAFY-2025-003</w:t>
            </w:r>
          </w:p>
        </w:tc>
      </w:tr>
      <w:tr w14:paraId="225E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2" w:hRule="atLeast"/>
          <w:jc w:val="center"/>
        </w:trPr>
        <w:tc>
          <w:tcPr>
            <w:tcW w:w="617" w:type="dxa"/>
            <w:vAlign w:val="center"/>
          </w:tcPr>
          <w:p w14:paraId="0BE2308A">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689" w:type="dxa"/>
            <w:vAlign w:val="center"/>
          </w:tcPr>
          <w:p w14:paraId="4F0BBF5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72A1B1C6">
            <w:pPr>
              <w:spacing w:line="440" w:lineRule="exact"/>
              <w:jc w:val="left"/>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项目完成后一次性付清</w:t>
            </w:r>
          </w:p>
        </w:tc>
      </w:tr>
      <w:tr w14:paraId="5D4D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6" w:hRule="atLeast"/>
          <w:jc w:val="center"/>
        </w:trPr>
        <w:tc>
          <w:tcPr>
            <w:tcW w:w="617" w:type="dxa"/>
            <w:vAlign w:val="center"/>
          </w:tcPr>
          <w:p w14:paraId="2FB135C9">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689" w:type="dxa"/>
            <w:vAlign w:val="center"/>
          </w:tcPr>
          <w:p w14:paraId="2E3C8119">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服务期</w:t>
            </w:r>
          </w:p>
        </w:tc>
        <w:tc>
          <w:tcPr>
            <w:tcW w:w="7308" w:type="dxa"/>
            <w:vAlign w:val="center"/>
          </w:tcPr>
          <w:p w14:paraId="76E09183">
            <w:pPr>
              <w:spacing w:line="440" w:lineRule="exact"/>
              <w:jc w:val="left"/>
              <w:rPr>
                <w:rFonts w:hint="eastAsia" w:ascii="宋体" w:hAnsi="宋体" w:eastAsia="宋体" w:cs="Times New Roman"/>
                <w:color w:val="auto"/>
                <w:sz w:val="24"/>
                <w:szCs w:val="24"/>
                <w:highlight w:val="none"/>
              </w:rPr>
            </w:pPr>
            <w:r>
              <w:rPr>
                <w:rFonts w:hint="eastAsia" w:ascii="宋体" w:hAnsi="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日历天</w:t>
            </w:r>
          </w:p>
        </w:tc>
      </w:tr>
      <w:tr w14:paraId="6D8D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27A7ECB6">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8</w:t>
            </w:r>
          </w:p>
        </w:tc>
        <w:tc>
          <w:tcPr>
            <w:tcW w:w="1689" w:type="dxa"/>
            <w:vAlign w:val="center"/>
          </w:tcPr>
          <w:p w14:paraId="7F3474E2">
            <w:pPr>
              <w:pStyle w:val="94"/>
              <w:pBdr>
                <w:bottom w:val="none" w:color="auto" w:sz="0" w:space="0"/>
              </w:pBdr>
              <w:tabs>
                <w:tab w:val="clear" w:pos="4153"/>
                <w:tab w:val="clear" w:pos="8306"/>
              </w:tabs>
              <w:adjustRightInd/>
              <w:spacing w:line="440" w:lineRule="exact"/>
              <w:textAlignment w:val="auto"/>
              <w:rPr>
                <w:rFonts w:ascii="宋体" w:hAnsi="宋体"/>
                <w:b w:val="0"/>
                <w:bCs/>
                <w:color w:val="auto"/>
                <w:kern w:val="2"/>
                <w:szCs w:val="24"/>
                <w:highlight w:val="none"/>
                <w:lang w:val="en-US"/>
              </w:rPr>
            </w:pPr>
            <w:r>
              <w:rPr>
                <w:rFonts w:hint="eastAsia" w:ascii="宋体" w:hAnsi="宋体"/>
                <w:b w:val="0"/>
                <w:bCs/>
                <w:color w:val="auto"/>
                <w:kern w:val="2"/>
                <w:szCs w:val="24"/>
                <w:highlight w:val="none"/>
                <w:lang w:val="en-US"/>
              </w:rPr>
              <w:t>免费质保期</w:t>
            </w:r>
          </w:p>
        </w:tc>
        <w:tc>
          <w:tcPr>
            <w:tcW w:w="7308" w:type="dxa"/>
            <w:vAlign w:val="center"/>
          </w:tcPr>
          <w:p w14:paraId="73BB0072">
            <w:pPr>
              <w:pStyle w:val="94"/>
              <w:pBdr>
                <w:bottom w:val="none" w:color="auto" w:sz="0" w:space="0"/>
              </w:pBdr>
              <w:tabs>
                <w:tab w:val="clear" w:pos="4153"/>
                <w:tab w:val="clear" w:pos="8306"/>
              </w:tabs>
              <w:adjustRightInd/>
              <w:spacing w:line="440" w:lineRule="exact"/>
              <w:jc w:val="left"/>
              <w:textAlignment w:val="auto"/>
              <w:rPr>
                <w:rFonts w:hint="eastAsia" w:eastAsia="宋体"/>
                <w:b w:val="0"/>
                <w:bCs/>
                <w:color w:val="auto"/>
                <w:szCs w:val="24"/>
                <w:highlight w:val="none"/>
                <w:lang w:val="en-US" w:eastAsia="zh-CN"/>
              </w:rPr>
            </w:pPr>
            <w:r>
              <w:rPr>
                <w:rFonts w:hint="eastAsia" w:eastAsia="宋体"/>
                <w:b w:val="0"/>
                <w:bCs/>
                <w:color w:val="auto"/>
                <w:szCs w:val="24"/>
                <w:highlight w:val="none"/>
                <w:lang w:val="en-US" w:eastAsia="zh-CN"/>
              </w:rPr>
              <w:t>验收合格之日起供应商提供3年系统软件及硬件的保修，保修期内零配件应免费更换，返厂返院运费由供应商负担</w:t>
            </w:r>
            <w:r>
              <w:rPr>
                <w:rFonts w:hint="eastAsia"/>
                <w:b w:val="0"/>
                <w:bCs/>
                <w:color w:val="auto"/>
                <w:szCs w:val="24"/>
                <w:highlight w:val="none"/>
                <w:lang w:val="en-US" w:eastAsia="zh-CN"/>
              </w:rPr>
              <w:t>。</w:t>
            </w:r>
          </w:p>
        </w:tc>
      </w:tr>
      <w:tr w14:paraId="400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C49B3ED">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9</w:t>
            </w:r>
          </w:p>
        </w:tc>
        <w:tc>
          <w:tcPr>
            <w:tcW w:w="1689" w:type="dxa"/>
            <w:vAlign w:val="center"/>
          </w:tcPr>
          <w:p w14:paraId="0D636D1C">
            <w:pPr>
              <w:pStyle w:val="94"/>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38921C58">
            <w:pPr>
              <w:shd w:val="clear"/>
              <w:spacing w:line="240" w:lineRule="auto"/>
              <w:jc w:val="left"/>
              <w:rPr>
                <w:rFonts w:hint="default" w:eastAsia="宋体"/>
                <w:bCs/>
                <w:color w:val="auto"/>
                <w:szCs w:val="24"/>
                <w:highlight w:val="none"/>
                <w:lang w:val="en-US" w:eastAsia="zh-CN"/>
              </w:rPr>
            </w:pPr>
            <w:r>
              <w:rPr>
                <w:rFonts w:hint="eastAsia"/>
                <w:bCs/>
                <w:color w:val="auto"/>
                <w:szCs w:val="24"/>
                <w:highlight w:val="none"/>
                <w:lang w:val="en-US" w:eastAsia="zh-CN"/>
              </w:rPr>
              <w:t>/</w:t>
            </w:r>
          </w:p>
        </w:tc>
      </w:tr>
      <w:tr w14:paraId="024B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617" w:type="dxa"/>
            <w:vAlign w:val="center"/>
          </w:tcPr>
          <w:p w14:paraId="2C488517">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0</w:t>
            </w:r>
          </w:p>
        </w:tc>
        <w:tc>
          <w:tcPr>
            <w:tcW w:w="1689" w:type="dxa"/>
            <w:vAlign w:val="center"/>
          </w:tcPr>
          <w:p w14:paraId="3C42DCAD">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05682C36">
            <w:pPr>
              <w:pStyle w:val="33"/>
              <w:ind w:firstLine="0"/>
              <w:jc w:val="left"/>
              <w:rPr>
                <w:rFonts w:hint="default" w:eastAsia="宋体"/>
                <w:color w:val="auto"/>
                <w:highlight w:val="none"/>
                <w:lang w:val="en-US" w:eastAsia="zh-CN"/>
              </w:rPr>
            </w:pPr>
            <w:r>
              <w:rPr>
                <w:rFonts w:hint="eastAsia" w:ascii="宋体" w:hAnsi="宋体" w:eastAsia="宋体" w:cs="宋体"/>
                <w:bCs/>
                <w:color w:val="auto"/>
                <w:kern w:val="2"/>
                <w:sz w:val="24"/>
                <w:szCs w:val="24"/>
                <w:highlight w:val="none"/>
                <w:lang w:val="en-US" w:eastAsia="zh-CN" w:bidi="ar-SA"/>
              </w:rPr>
              <w:t>成交供应商在签订合同时应向采购人提交合同总价</w:t>
            </w:r>
            <w:r>
              <w:rPr>
                <w:rFonts w:hint="eastAsia" w:ascii="宋体" w:hAnsi="宋体" w:cs="宋体"/>
                <w:bCs/>
                <w:color w:val="auto"/>
                <w:kern w:val="2"/>
                <w:sz w:val="24"/>
                <w:szCs w:val="24"/>
                <w:highlight w:val="none"/>
                <w:u w:val="single"/>
                <w:lang w:val="en-US" w:eastAsia="zh-CN" w:bidi="ar-SA"/>
              </w:rPr>
              <w:t>2%</w:t>
            </w:r>
            <w:r>
              <w:rPr>
                <w:rFonts w:hint="eastAsia" w:ascii="宋体" w:hAnsi="宋体" w:cs="宋体"/>
                <w:bCs/>
                <w:color w:val="auto"/>
                <w:kern w:val="2"/>
                <w:sz w:val="24"/>
                <w:szCs w:val="24"/>
                <w:highlight w:val="none"/>
                <w:lang w:val="en-US" w:eastAsia="zh-CN" w:bidi="ar-SA"/>
              </w:rPr>
              <w:t>的履约保证金</w:t>
            </w:r>
          </w:p>
        </w:tc>
      </w:tr>
      <w:tr w14:paraId="60D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617" w:type="dxa"/>
            <w:vAlign w:val="center"/>
          </w:tcPr>
          <w:p w14:paraId="6B93EF7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1</w:t>
            </w:r>
          </w:p>
        </w:tc>
        <w:tc>
          <w:tcPr>
            <w:tcW w:w="1689" w:type="dxa"/>
            <w:vAlign w:val="center"/>
          </w:tcPr>
          <w:p w14:paraId="7018C7C6">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74F4B6ED">
            <w:pPr>
              <w:pStyle w:val="94"/>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lang w:val="en-US" w:eastAsia="zh-CN"/>
              </w:rPr>
              <w:t>不组织，</w:t>
            </w:r>
            <w:r>
              <w:rPr>
                <w:rFonts w:hint="eastAsia" w:ascii="宋体" w:hAnsi="宋体" w:cs="宋体"/>
                <w:bCs/>
                <w:color w:val="auto"/>
                <w:kern w:val="2"/>
                <w:szCs w:val="24"/>
                <w:highlight w:val="none"/>
              </w:rPr>
              <w:t>供应商</w:t>
            </w:r>
            <w:r>
              <w:rPr>
                <w:rFonts w:hint="eastAsia" w:ascii="宋体" w:hAnsi="宋体" w:cs="宋体"/>
                <w:bCs/>
                <w:color w:val="auto"/>
                <w:kern w:val="2"/>
                <w:szCs w:val="24"/>
                <w:highlight w:val="none"/>
                <w:lang w:val="en-US" w:eastAsia="zh-CN"/>
              </w:rPr>
              <w:t>可</w:t>
            </w:r>
            <w:r>
              <w:rPr>
                <w:rFonts w:hint="eastAsia" w:ascii="宋体" w:hAnsi="宋体" w:cs="宋体"/>
                <w:bCs/>
                <w:color w:val="auto"/>
                <w:kern w:val="2"/>
                <w:szCs w:val="24"/>
                <w:highlight w:val="none"/>
              </w:rPr>
              <w:t>联系采购单位自行勘踏</w:t>
            </w:r>
          </w:p>
        </w:tc>
      </w:tr>
      <w:tr w14:paraId="5AC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DD38160">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689" w:type="dxa"/>
            <w:vAlign w:val="center"/>
          </w:tcPr>
          <w:p w14:paraId="7B97BD68">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31565A34">
            <w:pPr>
              <w:pStyle w:val="94"/>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lang w:eastAsia="zh-CN"/>
              </w:rPr>
              <w:t>详见磋商公告</w:t>
            </w:r>
          </w:p>
        </w:tc>
      </w:tr>
      <w:tr w14:paraId="6325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1" w:hRule="atLeast"/>
          <w:jc w:val="center"/>
        </w:trPr>
        <w:tc>
          <w:tcPr>
            <w:tcW w:w="617" w:type="dxa"/>
            <w:vAlign w:val="center"/>
          </w:tcPr>
          <w:p w14:paraId="46EA3AE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689" w:type="dxa"/>
            <w:vAlign w:val="center"/>
          </w:tcPr>
          <w:p w14:paraId="3467DFD7">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31AEFA42">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C00000"/>
                <w:kern w:val="2"/>
                <w:szCs w:val="24"/>
                <w:highlight w:val="none"/>
              </w:rPr>
              <w:t>正本壹份，副本</w:t>
            </w:r>
            <w:r>
              <w:rPr>
                <w:rFonts w:hint="eastAsia" w:ascii="宋体" w:hAnsi="宋体"/>
                <w:bCs/>
                <w:color w:val="C00000"/>
                <w:kern w:val="2"/>
                <w:szCs w:val="24"/>
                <w:highlight w:val="none"/>
                <w:lang w:val="en-US" w:eastAsia="zh-CN"/>
              </w:rPr>
              <w:t>贰</w:t>
            </w:r>
            <w:r>
              <w:rPr>
                <w:rFonts w:hint="eastAsia" w:ascii="宋体" w:hAnsi="宋体"/>
                <w:bCs/>
                <w:color w:val="C00000"/>
                <w:kern w:val="2"/>
                <w:szCs w:val="24"/>
                <w:highlight w:val="none"/>
              </w:rPr>
              <w:t>份；</w:t>
            </w:r>
          </w:p>
        </w:tc>
      </w:tr>
      <w:tr w14:paraId="31DE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2A90A3DB">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5</w:t>
            </w:r>
          </w:p>
        </w:tc>
        <w:tc>
          <w:tcPr>
            <w:tcW w:w="1689" w:type="dxa"/>
            <w:vAlign w:val="center"/>
          </w:tcPr>
          <w:p w14:paraId="616ECB8E">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35646CEA">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C00000"/>
                <w:kern w:val="2"/>
                <w:szCs w:val="24"/>
                <w:highlight w:val="none"/>
              </w:rPr>
              <w:t>供应商的纸质投标文件必须密封，并在封口处加盖供应商公章，于</w:t>
            </w:r>
            <w:r>
              <w:rPr>
                <w:rFonts w:hint="eastAsia" w:ascii="宋体" w:hAnsi="宋体"/>
                <w:bCs/>
                <w:color w:val="C00000"/>
                <w:kern w:val="2"/>
                <w:szCs w:val="24"/>
                <w:highlight w:val="none"/>
                <w:lang w:val="en-US" w:eastAsia="zh-CN"/>
              </w:rPr>
              <w:t>响应文件递交截止时间</w:t>
            </w:r>
            <w:r>
              <w:rPr>
                <w:rFonts w:hint="eastAsia" w:ascii="宋体" w:hAnsi="宋体"/>
                <w:bCs/>
                <w:color w:val="C00000"/>
                <w:kern w:val="2"/>
                <w:szCs w:val="24"/>
                <w:highlight w:val="none"/>
              </w:rPr>
              <w:t>前送到</w:t>
            </w:r>
            <w:r>
              <w:rPr>
                <w:rFonts w:hint="eastAsia" w:ascii="宋体" w:hAnsi="宋体"/>
                <w:bCs/>
                <w:color w:val="C00000"/>
                <w:kern w:val="2"/>
                <w:szCs w:val="24"/>
                <w:highlight w:val="none"/>
                <w:lang w:val="en-US" w:eastAsia="zh-CN"/>
              </w:rPr>
              <w:t>磋商</w:t>
            </w:r>
            <w:r>
              <w:rPr>
                <w:rFonts w:hint="eastAsia" w:ascii="宋体" w:hAnsi="宋体"/>
                <w:bCs/>
                <w:color w:val="C00000"/>
                <w:kern w:val="2"/>
                <w:szCs w:val="24"/>
                <w:highlight w:val="none"/>
              </w:rPr>
              <w:t>现场，逾期不予接受。</w:t>
            </w:r>
          </w:p>
        </w:tc>
      </w:tr>
      <w:tr w14:paraId="16A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661BEA13">
            <w:pPr>
              <w:pStyle w:val="94"/>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689" w:type="dxa"/>
            <w:vAlign w:val="center"/>
          </w:tcPr>
          <w:p w14:paraId="72E4ED62">
            <w:pPr>
              <w:pStyle w:val="94"/>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sz w:val="24"/>
                <w:highlight w:val="none"/>
                <w:lang w:eastAsia="zh-CN"/>
              </w:rPr>
              <w:t>磋商</w:t>
            </w:r>
            <w:r>
              <w:rPr>
                <w:rFonts w:hint="eastAsia" w:ascii="宋体" w:hAnsi="宋体"/>
                <w:bCs/>
                <w:color w:val="auto"/>
                <w:sz w:val="24"/>
                <w:highlight w:val="none"/>
              </w:rPr>
              <w:t>保证金</w:t>
            </w:r>
          </w:p>
        </w:tc>
        <w:tc>
          <w:tcPr>
            <w:tcW w:w="7308" w:type="dxa"/>
            <w:vAlign w:val="center"/>
          </w:tcPr>
          <w:p w14:paraId="64C72AD4">
            <w:pPr>
              <w:pStyle w:val="94"/>
              <w:pBdr>
                <w:bottom w:val="none" w:color="auto" w:sz="0" w:space="0"/>
              </w:pBdr>
              <w:tabs>
                <w:tab w:val="clear" w:pos="4153"/>
                <w:tab w:val="clear" w:pos="8306"/>
              </w:tabs>
              <w:adjustRightInd/>
              <w:spacing w:line="440" w:lineRule="exact"/>
              <w:jc w:val="lef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无</w:t>
            </w:r>
          </w:p>
        </w:tc>
      </w:tr>
      <w:tr w14:paraId="514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785E8911">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689" w:type="dxa"/>
            <w:vAlign w:val="center"/>
          </w:tcPr>
          <w:p w14:paraId="48632062">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308" w:type="dxa"/>
            <w:vAlign w:val="center"/>
          </w:tcPr>
          <w:p w14:paraId="7AF4100A">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2E4C9FEF">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63CDA317">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D5852C3">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18C9E305">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408D2051">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0F8A0686">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186E550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49FC71B">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18492C4">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7984F31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tc>
      </w:tr>
      <w:tr w14:paraId="3D9A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721E3D9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8</w:t>
            </w:r>
          </w:p>
        </w:tc>
        <w:tc>
          <w:tcPr>
            <w:tcW w:w="1689" w:type="dxa"/>
            <w:vAlign w:val="center"/>
          </w:tcPr>
          <w:p w14:paraId="0D4870FC">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备注二</w:t>
            </w:r>
          </w:p>
        </w:tc>
        <w:tc>
          <w:tcPr>
            <w:tcW w:w="7308" w:type="dxa"/>
            <w:vAlign w:val="center"/>
          </w:tcPr>
          <w:p w14:paraId="62A0EF15">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443D9782">
      <w:pPr>
        <w:pStyle w:val="3"/>
        <w:spacing w:before="0" w:after="0" w:line="520" w:lineRule="exact"/>
        <w:ind w:firstLine="241" w:firstLineChars="100"/>
        <w:jc w:val="center"/>
        <w:rPr>
          <w:rFonts w:ascii="宋体" w:hAnsi="宋体" w:eastAsia="宋体" w:cs="宋体"/>
          <w:color w:val="auto"/>
          <w:sz w:val="24"/>
          <w:szCs w:val="24"/>
          <w:highlight w:val="none"/>
        </w:rPr>
      </w:pPr>
      <w:bookmarkStart w:id="18" w:name="_Toc15181"/>
      <w:r>
        <w:rPr>
          <w:rFonts w:hint="eastAsia" w:ascii="宋体" w:hAnsi="宋体" w:eastAsia="宋体" w:cs="宋体"/>
          <w:color w:val="auto"/>
          <w:sz w:val="24"/>
          <w:szCs w:val="24"/>
          <w:highlight w:val="none"/>
        </w:rPr>
        <w:t>（二）供应商资格</w:t>
      </w:r>
      <w:bookmarkEnd w:id="18"/>
    </w:p>
    <w:bookmarkEnd w:id="15"/>
    <w:p w14:paraId="2A265F6A">
      <w:pPr>
        <w:pStyle w:val="33"/>
        <w:spacing w:after="0" w:line="520" w:lineRule="exact"/>
        <w:ind w:firstLine="480" w:firstLineChars="200"/>
        <w:jc w:val="left"/>
        <w:rPr>
          <w:color w:val="auto"/>
          <w:highlight w:val="none"/>
        </w:rPr>
      </w:pPr>
      <w:bookmarkStart w:id="19" w:name="_Toc438648662"/>
      <w:bookmarkStart w:id="20" w:name="_Toc363199266"/>
      <w:bookmarkStart w:id="21" w:name="_Toc216158625"/>
      <w:r>
        <w:rPr>
          <w:rFonts w:hint="eastAsia"/>
          <w:color w:val="auto"/>
          <w:highlight w:val="none"/>
        </w:rPr>
        <w:t>见本项目采购公告</w:t>
      </w:r>
    </w:p>
    <w:p w14:paraId="4DA1A0AC">
      <w:pPr>
        <w:pStyle w:val="3"/>
        <w:spacing w:before="0" w:after="0" w:line="520" w:lineRule="exact"/>
        <w:jc w:val="center"/>
        <w:rPr>
          <w:rFonts w:ascii="宋体" w:hAnsi="宋体" w:eastAsia="宋体" w:cs="宋体"/>
          <w:color w:val="auto"/>
          <w:sz w:val="24"/>
          <w:szCs w:val="24"/>
          <w:highlight w:val="none"/>
        </w:rPr>
      </w:pPr>
      <w:bookmarkStart w:id="22" w:name="_Toc8254"/>
      <w:r>
        <w:rPr>
          <w:rFonts w:hint="eastAsia" w:ascii="宋体" w:hAnsi="宋体" w:eastAsia="宋体" w:cs="宋体"/>
          <w:color w:val="auto"/>
          <w:sz w:val="24"/>
          <w:szCs w:val="24"/>
          <w:highlight w:val="none"/>
        </w:rPr>
        <w:t>（三）供应商必须提交的响应文件内容</w:t>
      </w:r>
      <w:bookmarkEnd w:id="19"/>
      <w:bookmarkEnd w:id="20"/>
      <w:bookmarkEnd w:id="21"/>
      <w:bookmarkEnd w:id="22"/>
    </w:p>
    <w:p w14:paraId="232B0279">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31B195C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4E4077F7">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7F4C0651">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3B4787F4">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2CB09A9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14D6AC4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7、相关服务承诺函；</w:t>
      </w:r>
    </w:p>
    <w:p w14:paraId="58138B60">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1AA8D64B">
      <w:pPr>
        <w:pStyle w:val="33"/>
        <w:rPr>
          <w:color w:val="auto"/>
          <w:highlight w:val="none"/>
        </w:rPr>
      </w:pPr>
    </w:p>
    <w:p w14:paraId="1638A2AB">
      <w:pPr>
        <w:pStyle w:val="3"/>
        <w:spacing w:before="0" w:after="0" w:line="520" w:lineRule="exact"/>
        <w:jc w:val="center"/>
        <w:rPr>
          <w:rFonts w:ascii="宋体" w:hAnsi="宋体" w:eastAsia="宋体" w:cs="宋体"/>
          <w:color w:val="auto"/>
          <w:sz w:val="24"/>
          <w:szCs w:val="24"/>
          <w:highlight w:val="none"/>
        </w:rPr>
      </w:pPr>
      <w:bookmarkStart w:id="23" w:name="_Toc21125"/>
      <w:bookmarkStart w:id="24" w:name="_Toc21758"/>
      <w:r>
        <w:rPr>
          <w:rFonts w:hint="eastAsia" w:ascii="宋体" w:hAnsi="宋体" w:eastAsia="宋体" w:cs="宋体"/>
          <w:color w:val="auto"/>
          <w:sz w:val="24"/>
          <w:szCs w:val="24"/>
          <w:highlight w:val="none"/>
        </w:rPr>
        <w:t>（四）响应文件的提交</w:t>
      </w:r>
      <w:bookmarkEnd w:id="23"/>
      <w:bookmarkEnd w:id="24"/>
    </w:p>
    <w:bookmarkEnd w:id="16"/>
    <w:bookmarkEnd w:id="17"/>
    <w:p w14:paraId="0E7A2AE5">
      <w:pPr>
        <w:pStyle w:val="16"/>
        <w:spacing w:line="360" w:lineRule="auto"/>
        <w:ind w:firstLine="241" w:firstLineChars="100"/>
        <w:rPr>
          <w:rFonts w:hAnsi="宋体"/>
          <w:b/>
          <w:color w:val="auto"/>
          <w:sz w:val="24"/>
          <w:szCs w:val="24"/>
          <w:highlight w:val="none"/>
        </w:rPr>
      </w:pPr>
      <w:bookmarkStart w:id="25" w:name="_Toc15950"/>
      <w:bookmarkStart w:id="26" w:name="_Toc31839"/>
      <w:r>
        <w:rPr>
          <w:rFonts w:hint="eastAsia" w:hAnsi="宋体"/>
          <w:b/>
          <w:color w:val="auto"/>
          <w:sz w:val="24"/>
          <w:szCs w:val="24"/>
          <w:highlight w:val="none"/>
        </w:rPr>
        <w:t>1、响应文件的密封和标记</w:t>
      </w:r>
    </w:p>
    <w:p w14:paraId="1F6D4407">
      <w:pPr>
        <w:pStyle w:val="16"/>
        <w:spacing w:line="360" w:lineRule="exact"/>
        <w:ind w:firstLine="470" w:firstLineChars="196"/>
        <w:rPr>
          <w:rFonts w:hint="eastAsia" w:hAnsi="宋体" w:cs="宋体"/>
          <w:bCs/>
          <w:color w:val="auto"/>
          <w:sz w:val="24"/>
          <w:szCs w:val="24"/>
          <w:highlight w:val="none"/>
        </w:rPr>
      </w:pPr>
      <w:r>
        <w:rPr>
          <w:rFonts w:hint="eastAsia" w:hAnsi="宋体" w:cs="宋体"/>
          <w:bCs/>
          <w:color w:val="auto"/>
          <w:sz w:val="24"/>
          <w:szCs w:val="24"/>
          <w:highlight w:val="none"/>
        </w:rPr>
        <w:t>1.1响应文件的正本和所有副本均应胶装成册，不得活页装订，否则作废标处理。</w:t>
      </w:r>
    </w:p>
    <w:p w14:paraId="7820AEBE">
      <w:pPr>
        <w:adjustRightInd w:val="0"/>
        <w:snapToGrid w:val="0"/>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1.2投标人应将响应文件的正本和副本分别密封，并在封袋上明确注明“正本”或“副本”，在密封处加盖供应商公章和法定代表人签字或盖章。当响应文件正本和副本内容不一致时，以正本内容为准，供应商应无异议，否则按废标处理。</w:t>
      </w:r>
    </w:p>
    <w:p w14:paraId="598FFF78">
      <w:pPr>
        <w:pStyle w:val="16"/>
        <w:spacing w:line="360" w:lineRule="exact"/>
        <w:ind w:firstLine="470" w:firstLineChars="196"/>
        <w:rPr>
          <w:rFonts w:hint="eastAsia" w:hAnsi="宋体" w:cs="宋体"/>
          <w:bCs/>
          <w:color w:val="auto"/>
          <w:sz w:val="24"/>
          <w:szCs w:val="24"/>
          <w:highlight w:val="none"/>
        </w:rPr>
      </w:pPr>
      <w:r>
        <w:rPr>
          <w:rFonts w:hint="eastAsia" w:hAnsi="宋体"/>
          <w:color w:val="auto"/>
          <w:sz w:val="24"/>
          <w:highlight w:val="none"/>
        </w:rPr>
        <w:t>1.3</w:t>
      </w:r>
      <w:r>
        <w:rPr>
          <w:rFonts w:hint="eastAsia" w:hAnsi="宋体" w:cs="宋体"/>
          <w:bCs/>
          <w:color w:val="auto"/>
          <w:sz w:val="24"/>
          <w:szCs w:val="24"/>
          <w:highlight w:val="none"/>
        </w:rPr>
        <w:t>响应文件在响应文件密封袋上均应写明：</w:t>
      </w:r>
    </w:p>
    <w:p w14:paraId="1522F89E">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lang w:eastAsia="zh-CN"/>
        </w:rPr>
        <w:t>采购人</w:t>
      </w:r>
      <w:r>
        <w:rPr>
          <w:rFonts w:hint="eastAsia" w:hAnsi="宋体" w:cs="宋体"/>
          <w:bCs/>
          <w:color w:val="auto"/>
          <w:sz w:val="24"/>
          <w:szCs w:val="24"/>
          <w:highlight w:val="none"/>
        </w:rPr>
        <w:t xml:space="preserve">名称：                         </w:t>
      </w:r>
    </w:p>
    <w:p w14:paraId="2B26FE75">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项目编号：                            </w:t>
      </w:r>
    </w:p>
    <w:p w14:paraId="00F9A558">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项目名称：                      </w:t>
      </w:r>
    </w:p>
    <w:p w14:paraId="4B525432">
      <w:pPr>
        <w:adjustRightInd w:val="0"/>
        <w:snapToGrid w:val="0"/>
        <w:spacing w:line="440" w:lineRule="exact"/>
        <w:ind w:firstLine="480" w:firstLineChars="200"/>
        <w:rPr>
          <w:rFonts w:hint="eastAsia" w:hAnsi="宋体" w:cs="宋体"/>
          <w:bCs/>
          <w:color w:val="auto"/>
          <w:sz w:val="24"/>
          <w:highlight w:val="none"/>
        </w:rPr>
      </w:pPr>
      <w:r>
        <w:rPr>
          <w:rFonts w:hint="eastAsia" w:hAnsi="宋体" w:cs="宋体"/>
          <w:bCs/>
          <w:color w:val="auto"/>
          <w:sz w:val="24"/>
          <w:highlight w:val="none"/>
          <w:u w:val="single"/>
        </w:rPr>
        <w:t xml:space="preserve">     </w:t>
      </w:r>
      <w:r>
        <w:rPr>
          <w:rFonts w:hint="eastAsia" w:hAnsi="宋体" w:cs="宋体"/>
          <w:bCs/>
          <w:color w:val="auto"/>
          <w:sz w:val="24"/>
          <w:highlight w:val="none"/>
        </w:rPr>
        <w:t>年</w:t>
      </w:r>
      <w:r>
        <w:rPr>
          <w:rFonts w:hint="eastAsia" w:hAnsi="宋体" w:cs="宋体"/>
          <w:bCs/>
          <w:color w:val="auto"/>
          <w:sz w:val="24"/>
          <w:highlight w:val="none"/>
          <w:u w:val="single"/>
        </w:rPr>
        <w:t xml:space="preserve">     </w:t>
      </w:r>
      <w:r>
        <w:rPr>
          <w:rFonts w:hint="eastAsia" w:hAnsi="宋体" w:cs="宋体"/>
          <w:bCs/>
          <w:color w:val="auto"/>
          <w:sz w:val="24"/>
          <w:highlight w:val="none"/>
        </w:rPr>
        <w:t>月</w:t>
      </w:r>
      <w:r>
        <w:rPr>
          <w:rFonts w:hint="eastAsia" w:hAnsi="宋体" w:cs="宋体"/>
          <w:bCs/>
          <w:color w:val="auto"/>
          <w:sz w:val="24"/>
          <w:highlight w:val="none"/>
          <w:u w:val="single"/>
        </w:rPr>
        <w:t xml:space="preserve">     </w:t>
      </w:r>
      <w:r>
        <w:rPr>
          <w:rFonts w:hint="eastAsia" w:hAnsi="宋体" w:cs="宋体"/>
          <w:bCs/>
          <w:color w:val="auto"/>
          <w:sz w:val="24"/>
          <w:highlight w:val="none"/>
        </w:rPr>
        <w:t>日</w:t>
      </w:r>
      <w:r>
        <w:rPr>
          <w:rFonts w:hint="eastAsia" w:hAnsi="宋体" w:cs="宋体"/>
          <w:bCs/>
          <w:color w:val="auto"/>
          <w:sz w:val="24"/>
          <w:highlight w:val="none"/>
          <w:u w:val="single"/>
        </w:rPr>
        <w:t xml:space="preserve">     </w:t>
      </w:r>
      <w:r>
        <w:rPr>
          <w:rFonts w:hint="eastAsia" w:hAnsi="宋体" w:cs="宋体"/>
          <w:bCs/>
          <w:color w:val="auto"/>
          <w:sz w:val="24"/>
          <w:highlight w:val="none"/>
        </w:rPr>
        <w:t>时</w:t>
      </w:r>
      <w:r>
        <w:rPr>
          <w:rFonts w:hint="eastAsia" w:hAnsi="宋体" w:cs="宋体"/>
          <w:bCs/>
          <w:color w:val="auto"/>
          <w:sz w:val="24"/>
          <w:highlight w:val="none"/>
          <w:u w:val="single"/>
        </w:rPr>
        <w:t xml:space="preserve">     </w:t>
      </w:r>
      <w:r>
        <w:rPr>
          <w:rFonts w:hint="eastAsia" w:hAnsi="宋体" w:cs="宋体"/>
          <w:bCs/>
          <w:color w:val="auto"/>
          <w:sz w:val="24"/>
          <w:highlight w:val="none"/>
        </w:rPr>
        <w:t>分</w:t>
      </w:r>
      <w:r>
        <w:rPr>
          <w:rFonts w:hint="eastAsia" w:hAnsi="宋体" w:cs="宋体"/>
          <w:bCs/>
          <w:color w:val="auto"/>
          <w:sz w:val="24"/>
          <w:highlight w:val="none"/>
          <w:lang w:eastAsia="zh-CN"/>
        </w:rPr>
        <w:t>磋商</w:t>
      </w:r>
      <w:r>
        <w:rPr>
          <w:rFonts w:hint="eastAsia" w:hAnsi="宋体" w:cs="宋体"/>
          <w:bCs/>
          <w:color w:val="auto"/>
          <w:sz w:val="24"/>
          <w:highlight w:val="none"/>
        </w:rPr>
        <w:t>，此时间以前不得开封</w:t>
      </w:r>
    </w:p>
    <w:p w14:paraId="67C28664">
      <w:pPr>
        <w:pStyle w:val="16"/>
        <w:spacing w:line="360" w:lineRule="exact"/>
        <w:ind w:firstLine="480" w:firstLineChars="200"/>
        <w:rPr>
          <w:rFonts w:hint="eastAsia" w:hAnsi="宋体" w:eastAsia="宋体"/>
          <w:b/>
          <w:color w:val="auto"/>
          <w:sz w:val="24"/>
          <w:highlight w:val="none"/>
          <w:lang w:eastAsia="zh-CN"/>
        </w:rPr>
      </w:pPr>
      <w:r>
        <w:rPr>
          <w:rFonts w:hint="eastAsia" w:hAnsi="宋体" w:cs="宋体"/>
          <w:bCs/>
          <w:color w:val="auto"/>
          <w:sz w:val="24"/>
          <w:szCs w:val="24"/>
          <w:highlight w:val="none"/>
        </w:rPr>
        <w:t>供应商名称和地址</w:t>
      </w:r>
      <w:r>
        <w:rPr>
          <w:rFonts w:hint="eastAsia" w:hAnsi="宋体" w:cs="宋体"/>
          <w:bCs/>
          <w:color w:val="auto"/>
          <w:sz w:val="24"/>
          <w:szCs w:val="24"/>
          <w:highlight w:val="none"/>
          <w:lang w:eastAsia="zh-CN"/>
        </w:rPr>
        <w:t>：</w:t>
      </w:r>
    </w:p>
    <w:p w14:paraId="2BE8C5A0">
      <w:pPr>
        <w:pStyle w:val="16"/>
        <w:spacing w:line="360" w:lineRule="auto"/>
        <w:rPr>
          <w:rFonts w:hAnsi="宋体"/>
          <w:b/>
          <w:color w:val="auto"/>
          <w:sz w:val="24"/>
          <w:szCs w:val="24"/>
          <w:highlight w:val="none"/>
        </w:rPr>
      </w:pPr>
      <w:r>
        <w:rPr>
          <w:rFonts w:hint="eastAsia" w:hAnsi="宋体"/>
          <w:b/>
          <w:color w:val="auto"/>
          <w:sz w:val="24"/>
          <w:szCs w:val="24"/>
          <w:highlight w:val="none"/>
        </w:rPr>
        <w:t>2、响应文件的递交</w:t>
      </w:r>
    </w:p>
    <w:p w14:paraId="68359D60">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2.1供应商应按须知前附表规定的时间、地点，于询价截止时间前现场签到并提交响应文件。</w:t>
      </w:r>
    </w:p>
    <w:p w14:paraId="0CA13897">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2.2在采购文件规定的询价截止时间以后递交的响应文件将被拒绝并退还给供应商。</w:t>
      </w:r>
    </w:p>
    <w:p w14:paraId="5F562584">
      <w:pPr>
        <w:pStyle w:val="3"/>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25"/>
      <w:bookmarkEnd w:id="26"/>
    </w:p>
    <w:p w14:paraId="489D5D26">
      <w:pPr>
        <w:tabs>
          <w:tab w:val="left" w:pos="900"/>
        </w:tabs>
        <w:spacing w:line="520" w:lineRule="exact"/>
        <w:ind w:firstLine="480" w:firstLineChars="200"/>
        <w:jc w:val="left"/>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磋商会议由采购人</w:t>
      </w:r>
      <w:r>
        <w:rPr>
          <w:rFonts w:hint="eastAsia" w:ascii="宋体" w:hAnsi="宋体" w:cs="宋体"/>
          <w:color w:val="auto"/>
          <w:sz w:val="24"/>
          <w:szCs w:val="24"/>
          <w:highlight w:val="none"/>
          <w:lang w:val="en-US" w:eastAsia="zh-CN"/>
        </w:rPr>
        <w:t>主持</w:t>
      </w:r>
      <w:r>
        <w:rPr>
          <w:rFonts w:hint="eastAsia" w:ascii="宋体" w:hAnsi="宋体" w:cs="宋体"/>
          <w:color w:val="auto"/>
          <w:sz w:val="24"/>
          <w:szCs w:val="24"/>
          <w:highlight w:val="none"/>
        </w:rPr>
        <w:t>，</w:t>
      </w:r>
      <w:r>
        <w:rPr>
          <w:rFonts w:hint="eastAsia" w:ascii="宋体" w:hAnsi="宋体" w:cs="宋体"/>
          <w:b/>
          <w:bCs/>
          <w:color w:val="C00000"/>
          <w:sz w:val="24"/>
          <w:szCs w:val="24"/>
          <w:highlight w:val="none"/>
          <w:u w:val="single"/>
        </w:rPr>
        <w:t>到场的供应商代表若是法定代表人应出示居民身份证和有效法人身份证明书、</w:t>
      </w:r>
      <w:r>
        <w:rPr>
          <w:rFonts w:hint="eastAsia" w:ascii="宋体" w:hAnsi="宋体" w:cs="宋体"/>
          <w:b/>
          <w:bCs/>
          <w:color w:val="C00000"/>
          <w:sz w:val="24"/>
          <w:szCs w:val="24"/>
          <w:highlight w:val="none"/>
          <w:u w:val="single"/>
          <w:lang w:val="en-US" w:eastAsia="zh-CN"/>
        </w:rPr>
        <w:t>营业执照</w:t>
      </w:r>
      <w:r>
        <w:rPr>
          <w:rFonts w:hint="eastAsia" w:ascii="宋体" w:hAnsi="宋体" w:cs="宋体"/>
          <w:b/>
          <w:bCs/>
          <w:color w:val="C00000"/>
          <w:sz w:val="24"/>
          <w:szCs w:val="24"/>
          <w:highlight w:val="none"/>
          <w:u w:val="single"/>
        </w:rPr>
        <w:t>，若是委托代理人应出示有效的授权委托书及本人居民身份证、</w:t>
      </w:r>
      <w:r>
        <w:rPr>
          <w:rFonts w:hint="eastAsia" w:ascii="宋体" w:hAnsi="宋体" w:cs="宋体"/>
          <w:b/>
          <w:bCs/>
          <w:color w:val="C00000"/>
          <w:sz w:val="24"/>
          <w:szCs w:val="24"/>
          <w:highlight w:val="none"/>
          <w:u w:val="single"/>
          <w:lang w:val="en-US" w:eastAsia="zh-CN"/>
        </w:rPr>
        <w:t>营业执照</w:t>
      </w:r>
      <w:r>
        <w:rPr>
          <w:rFonts w:hint="eastAsia" w:ascii="宋体" w:hAnsi="宋体" w:cs="宋体"/>
          <w:b/>
          <w:bCs/>
          <w:color w:val="C00000"/>
          <w:sz w:val="24"/>
          <w:szCs w:val="24"/>
          <w:highlight w:val="none"/>
          <w:u w:val="single"/>
        </w:rPr>
        <w:t>。</w:t>
      </w:r>
    </w:p>
    <w:p w14:paraId="663CC30F">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磋商人员是按规定组成的三人或三人以上的磋商小组。</w:t>
      </w:r>
    </w:p>
    <w:p w14:paraId="32983FA2">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、在掌握了供应商的基本情况后，磋商小组将按签到顺序，与供应商分别进行磋商。</w:t>
      </w:r>
    </w:p>
    <w:p w14:paraId="5250BDE0">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、磋商是分别单独进行的。供应商不得与其他参与磋商的供应商相互串通；磋商小组也不得将与某一供应商的磋商情况向其他供应商及其关系人透露。</w:t>
      </w:r>
    </w:p>
    <w:p w14:paraId="45284576">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C00000"/>
          <w:sz w:val="24"/>
          <w:szCs w:val="24"/>
          <w:highlight w:val="none"/>
        </w:rPr>
        <w:t>磋商采用一轮磋商、两轮报价的方式进行。</w:t>
      </w:r>
      <w:r>
        <w:rPr>
          <w:rFonts w:hint="eastAsia" w:ascii="宋体" w:hAnsi="宋体" w:cs="宋体"/>
          <w:color w:val="auto"/>
          <w:sz w:val="24"/>
          <w:szCs w:val="24"/>
          <w:highlight w:val="none"/>
        </w:rPr>
        <w:t>但最终采取多少轮磋商，由磋商小组视情况而定。</w:t>
      </w:r>
    </w:p>
    <w:p w14:paraId="2E7EF465">
      <w:pPr>
        <w:tabs>
          <w:tab w:val="left" w:pos="900"/>
        </w:tabs>
        <w:spacing w:line="520" w:lineRule="exact"/>
        <w:ind w:firstLine="480" w:firstLineChars="200"/>
        <w:jc w:val="left"/>
        <w:rPr>
          <w:rFonts w:ascii="宋体" w:hAnsi="宋体" w:cs="宋体"/>
          <w:b/>
          <w:bCs/>
          <w:color w:val="auto"/>
          <w:sz w:val="24"/>
          <w:szCs w:val="24"/>
          <w:highlight w:val="none"/>
        </w:rPr>
      </w:pPr>
      <w:bookmarkStart w:id="27" w:name="_Toc6912"/>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、磋商结束后，磋商小组将要求所有符合条件的供应商在规定的时间内进行最后的报价。</w:t>
      </w:r>
      <w:bookmarkEnd w:id="27"/>
    </w:p>
    <w:p w14:paraId="150071D5">
      <w:pPr>
        <w:pStyle w:val="3"/>
        <w:spacing w:before="0" w:after="0" w:line="520" w:lineRule="exact"/>
        <w:jc w:val="center"/>
        <w:rPr>
          <w:rFonts w:ascii="宋体" w:hAnsi="宋体" w:eastAsia="宋体" w:cs="宋体"/>
          <w:color w:val="auto"/>
          <w:sz w:val="24"/>
          <w:szCs w:val="24"/>
          <w:highlight w:val="none"/>
        </w:rPr>
      </w:pPr>
      <w:bookmarkStart w:id="28" w:name="_Toc7501"/>
      <w:bookmarkStart w:id="29" w:name="_Toc32569"/>
      <w:r>
        <w:rPr>
          <w:rFonts w:hint="eastAsia" w:ascii="宋体" w:hAnsi="宋体" w:eastAsia="宋体" w:cs="宋体"/>
          <w:color w:val="auto"/>
          <w:sz w:val="24"/>
          <w:szCs w:val="24"/>
          <w:highlight w:val="none"/>
        </w:rPr>
        <w:t>（六）评审及异常情况处理</w:t>
      </w:r>
      <w:bookmarkEnd w:id="28"/>
      <w:bookmarkEnd w:id="29"/>
    </w:p>
    <w:p w14:paraId="645B8395">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C7A093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121480F4">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4E17FC85">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5BE47C8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372BC0C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2CC0C96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8D9A69F">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3、重</w:t>
      </w:r>
      <w:r>
        <w:rPr>
          <w:rFonts w:hint="eastAsia" w:ascii="宋体" w:hAnsi="宋体" w:cs="Arial"/>
          <w:color w:val="auto"/>
          <w:sz w:val="24"/>
          <w:szCs w:val="24"/>
          <w:highlight w:val="none"/>
        </w:rPr>
        <w:t>新组织磋商，采购单位将通过</w:t>
      </w:r>
      <w:r>
        <w:rPr>
          <w:rFonts w:hint="eastAsia" w:ascii="宋体" w:hAnsi="宋体" w:cs="Arial"/>
          <w:color w:val="auto"/>
          <w:sz w:val="24"/>
          <w:szCs w:val="24"/>
          <w:highlight w:val="none"/>
          <w:lang w:eastAsia="zh-CN"/>
        </w:rPr>
        <w:t>新点电子交易平台</w:t>
      </w:r>
      <w:r>
        <w:rPr>
          <w:rFonts w:hint="eastAsia" w:ascii="宋体" w:hAnsi="宋体" w:cs="Arial"/>
          <w:color w:val="auto"/>
          <w:sz w:val="24"/>
          <w:szCs w:val="24"/>
          <w:highlight w:val="none"/>
          <w:lang w:val="en-US" w:eastAsia="zh-CN"/>
        </w:rPr>
        <w:t>网站</w:t>
      </w:r>
      <w:r>
        <w:rPr>
          <w:rFonts w:hint="eastAsia" w:ascii="宋体" w:hAnsi="宋体" w:cs="Arial"/>
          <w:color w:val="auto"/>
          <w:sz w:val="24"/>
          <w:szCs w:val="24"/>
          <w:highlight w:val="none"/>
        </w:rPr>
        <w:t>系统进行公告。</w:t>
      </w:r>
    </w:p>
    <w:p w14:paraId="60D1FFB2">
      <w:pPr>
        <w:pStyle w:val="3"/>
        <w:spacing w:before="0" w:after="0" w:line="520" w:lineRule="exact"/>
        <w:jc w:val="center"/>
        <w:rPr>
          <w:rFonts w:hint="eastAsia" w:ascii="宋体" w:hAnsi="宋体" w:eastAsia="宋体" w:cs="宋体"/>
          <w:color w:val="auto"/>
          <w:sz w:val="24"/>
          <w:szCs w:val="24"/>
          <w:highlight w:val="none"/>
        </w:rPr>
      </w:pPr>
      <w:bookmarkStart w:id="30" w:name="_Toc18563"/>
    </w:p>
    <w:p w14:paraId="7564E9CF">
      <w:pPr>
        <w:pStyle w:val="3"/>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（七）报价响应及答疑</w:t>
      </w:r>
      <w:bookmarkEnd w:id="30"/>
    </w:p>
    <w:p w14:paraId="4457B58C">
      <w:pPr>
        <w:spacing w:line="520" w:lineRule="exact"/>
        <w:ind w:firstLine="480" w:firstLineChars="200"/>
        <w:rPr>
          <w:rFonts w:ascii="宋体" w:hAnsi="宋体"/>
          <w:b/>
          <w:bCs/>
          <w:color w:val="C00000"/>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检测验收、培训和交付后规定免费维保期内维保等环节所发生的一切费用。</w:t>
      </w:r>
    </w:p>
    <w:p w14:paraId="1142701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2、提交响应的货物必须是合法生产的符合国家有关要求的货物，并满足磋商文件规定的规格、参数、质量、价格、有效期、售后服务等要求。</w:t>
      </w:r>
    </w:p>
    <w:p w14:paraId="505F90C7">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B82EB12">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F02165D">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5、供应商如果对采购文件内容有相关疑问，可以</w:t>
      </w:r>
      <w:r>
        <w:rPr>
          <w:rFonts w:hint="eastAsia" w:ascii="宋体" w:hAnsi="宋体"/>
          <w:color w:val="auto"/>
          <w:sz w:val="24"/>
          <w:szCs w:val="24"/>
          <w:highlight w:val="none"/>
          <w:lang w:eastAsia="zh-CN"/>
        </w:rPr>
        <w:t>致电采购人。</w:t>
      </w:r>
      <w:r>
        <w:rPr>
          <w:rFonts w:hint="eastAsia" w:ascii="宋体" w:hAnsi="宋体"/>
          <w:color w:val="auto"/>
          <w:sz w:val="24"/>
          <w:szCs w:val="24"/>
          <w:highlight w:val="none"/>
          <w:lang w:val="en-US" w:eastAsia="zh-CN"/>
        </w:rPr>
        <w:t>供应</w:t>
      </w:r>
      <w:r>
        <w:rPr>
          <w:rFonts w:hint="eastAsia" w:ascii="宋体" w:hAnsi="宋体"/>
          <w:color w:val="auto"/>
          <w:sz w:val="24"/>
          <w:szCs w:val="24"/>
          <w:highlight w:val="none"/>
        </w:rPr>
        <w:t>商及时通过“答疑文件下载”及网站答疑公告栏目查看答疑文件。</w:t>
      </w:r>
    </w:p>
    <w:p w14:paraId="225D4051">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57B3BD0A">
      <w:pPr>
        <w:pStyle w:val="3"/>
        <w:spacing w:before="0" w:after="0" w:line="520" w:lineRule="exact"/>
        <w:jc w:val="center"/>
        <w:rPr>
          <w:rFonts w:ascii="宋体" w:hAnsi="宋体" w:eastAsia="宋体" w:cs="宋体"/>
          <w:color w:val="auto"/>
          <w:sz w:val="24"/>
          <w:szCs w:val="24"/>
          <w:highlight w:val="none"/>
        </w:rPr>
      </w:pPr>
      <w:bookmarkStart w:id="31" w:name="_Toc4239"/>
      <w:r>
        <w:rPr>
          <w:rFonts w:hint="eastAsia" w:ascii="宋体" w:hAnsi="宋体" w:eastAsia="宋体" w:cs="宋体"/>
          <w:color w:val="auto"/>
          <w:sz w:val="24"/>
          <w:szCs w:val="24"/>
          <w:highlight w:val="none"/>
        </w:rPr>
        <w:t>（八）合同的签订</w:t>
      </w:r>
      <w:bookmarkEnd w:id="31"/>
    </w:p>
    <w:p w14:paraId="09149E24">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A1954AF">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2、</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w:t>
      </w:r>
      <w:r>
        <w:rPr>
          <w:rFonts w:hint="eastAsia" w:ascii="宋体" w:hAnsi="宋体" w:cs="Arial"/>
          <w:color w:val="auto"/>
          <w:sz w:val="24"/>
          <w:szCs w:val="24"/>
          <w:highlight w:val="none"/>
        </w:rPr>
        <w:t>更的金额不得超过成交总价的10%。</w:t>
      </w:r>
    </w:p>
    <w:p w14:paraId="2E8C1B3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3、成交供应商因不可抗力或者自身原因不能在规定的时间内与采购人签订采购合同，采购人可以与排在成交供应商后第一位的候选供应商签订采购合同，以此类推或重新组织采购。</w:t>
      </w:r>
    </w:p>
    <w:p w14:paraId="0032D8D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4、因政策变化等原因不能签订合同，造成企业合法利益受损的情形，采购人可以与供应商充分协商，给予合理补偿。</w:t>
      </w:r>
    </w:p>
    <w:p w14:paraId="5DEE91D9">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5、在签订合同时，供应商书面明确表示无需预付款或者主动要求降低预付款比例的，采购人可不适用前述（即付款方式）规定。</w:t>
      </w:r>
    </w:p>
    <w:p w14:paraId="2611938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6、采购文件和合同中没有约定预付款的，经供应商申请，采购人可以支付预付款。</w:t>
      </w:r>
    </w:p>
    <w:p w14:paraId="00EB0B8B">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7、采购人可根据项目特点、供应商诚信等因素，要求供应商提交银行、保险公司、担保公司等金融机构出具的预付款保函或其他担保措施。</w:t>
      </w:r>
    </w:p>
    <w:p w14:paraId="675DF58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8、政府采购预付款应在合同、担保措施生效以及具备实施条件后 5 个工作日内支付。</w:t>
      </w:r>
    </w:p>
    <w:p w14:paraId="4D4B0B61">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9、延迟支付中小企业款项的，供应商可要求采购人按照合同约定支付逾期利息，合同没有约定的，按照同期人民银行 LPR支付逾期利息。</w:t>
      </w:r>
    </w:p>
    <w:p w14:paraId="0C4EAD5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10、成交供应商无正当理由不与采购人订立合同的处罚依据：</w:t>
      </w:r>
    </w:p>
    <w:p w14:paraId="1D1E03D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0412AA52">
      <w:pPr>
        <w:pStyle w:val="33"/>
        <w:spacing w:after="0" w:line="520" w:lineRule="exact"/>
        <w:ind w:firstLine="480" w:firstLineChars="200"/>
        <w:rPr>
          <w:rFonts w:hint="eastAsia"/>
          <w:color w:val="auto"/>
          <w:highlight w:val="none"/>
        </w:rPr>
      </w:pPr>
      <w:r>
        <w:rPr>
          <w:rFonts w:hint="eastAsia" w:ascii="宋体" w:hAnsi="宋体" w:cs="Arial"/>
          <w:color w:val="auto"/>
          <w:sz w:val="24"/>
          <w:szCs w:val="24"/>
          <w:highlight w:val="none"/>
        </w:rPr>
        <w:t>第七十</w:t>
      </w:r>
      <w:r>
        <w:rPr>
          <w:rFonts w:hint="eastAsia"/>
          <w:color w:val="auto"/>
          <w:highlight w:val="none"/>
        </w:rPr>
        <w:t xml:space="preserve">二条 </w:t>
      </w:r>
      <w:r>
        <w:rPr>
          <w:rFonts w:hint="eastAsia"/>
          <w:color w:val="auto"/>
          <w:highlight w:val="none"/>
          <w:lang w:val="en-US" w:eastAsia="zh-CN"/>
        </w:rPr>
        <w:t>供应商有下列情形之一的，依照政府采购法第七十七条第一款的规定追究法律责任：……</w:t>
      </w:r>
    </w:p>
    <w:p w14:paraId="0E78E3A5">
      <w:pPr>
        <w:pStyle w:val="33"/>
        <w:spacing w:after="0" w:line="520" w:lineRule="exact"/>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7EB4E276">
      <w:pPr>
        <w:pStyle w:val="33"/>
        <w:spacing w:after="0" w:line="520" w:lineRule="exact"/>
        <w:ind w:firstLine="480" w:firstLineChars="200"/>
        <w:rPr>
          <w:rFonts w:hint="eastAsia"/>
          <w:color w:val="auto"/>
          <w:highlight w:val="none"/>
        </w:rPr>
      </w:pPr>
      <w:r>
        <w:rPr>
          <w:rFonts w:hint="eastAsia"/>
          <w:color w:val="auto"/>
          <w:highlight w:val="none"/>
        </w:rPr>
        <w:t>（2）《中华人民共和国政府采购法》</w:t>
      </w:r>
    </w:p>
    <w:p w14:paraId="6B7FB4CB">
      <w:pPr>
        <w:pStyle w:val="33"/>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w:t>
      </w:r>
      <w:r>
        <w:rPr>
          <w:rFonts w:hint="eastAsia"/>
          <w:color w:val="auto"/>
          <w:highlight w:val="none"/>
          <w:lang w:eastAsia="zh-CN"/>
        </w:rPr>
        <w:t>以</w:t>
      </w:r>
      <w:r>
        <w:rPr>
          <w:rFonts w:hint="eastAsia"/>
          <w:color w:val="auto"/>
          <w:highlight w:val="none"/>
        </w:rPr>
        <w:t>下的罚款，列入不良行为记录名单，在一至三年内禁止参加政府采购活动，有违法所得的，并处没收违法所得，情节严重的，由工商行政管理机关吊销营业执照；构成犯罪的，依法追究刑事责任：……</w:t>
      </w:r>
    </w:p>
    <w:p w14:paraId="505D54FA">
      <w:pPr>
        <w:pStyle w:val="33"/>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45FC0370">
      <w:pPr>
        <w:pStyle w:val="33"/>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04A6588A">
      <w:pPr>
        <w:pStyle w:val="33"/>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4AA5F0C2">
      <w:pPr>
        <w:pStyle w:val="3"/>
        <w:spacing w:before="0" w:after="0" w:line="520" w:lineRule="exact"/>
        <w:jc w:val="center"/>
        <w:rPr>
          <w:rFonts w:ascii="宋体" w:hAnsi="宋体" w:eastAsia="宋体" w:cs="宋体"/>
          <w:color w:val="auto"/>
          <w:sz w:val="24"/>
          <w:szCs w:val="24"/>
          <w:highlight w:val="none"/>
        </w:rPr>
      </w:pPr>
      <w:bookmarkStart w:id="32" w:name="_Toc16479"/>
      <w:r>
        <w:rPr>
          <w:rFonts w:hint="eastAsia" w:ascii="宋体" w:hAnsi="宋体" w:eastAsia="宋体" w:cs="宋体"/>
          <w:color w:val="auto"/>
          <w:sz w:val="24"/>
          <w:szCs w:val="24"/>
          <w:highlight w:val="none"/>
        </w:rPr>
        <w:t>（九）澄清及变更</w:t>
      </w:r>
      <w:bookmarkEnd w:id="32"/>
    </w:p>
    <w:p w14:paraId="23041178">
      <w:pPr>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30F2C3DD">
      <w:pPr>
        <w:pStyle w:val="3"/>
        <w:spacing w:before="0" w:after="0" w:line="520" w:lineRule="exact"/>
        <w:jc w:val="center"/>
        <w:rPr>
          <w:rFonts w:ascii="宋体" w:hAnsi="宋体" w:eastAsia="宋体" w:cs="宋体"/>
          <w:color w:val="auto"/>
          <w:sz w:val="24"/>
          <w:szCs w:val="24"/>
          <w:highlight w:val="none"/>
        </w:rPr>
      </w:pPr>
      <w:bookmarkStart w:id="33" w:name="_Toc32257"/>
      <w:r>
        <w:rPr>
          <w:rFonts w:hint="eastAsia" w:ascii="宋体" w:hAnsi="宋体" w:eastAsia="宋体" w:cs="宋体"/>
          <w:color w:val="auto"/>
          <w:sz w:val="24"/>
          <w:szCs w:val="24"/>
          <w:highlight w:val="none"/>
        </w:rPr>
        <w:t>（十）验收</w:t>
      </w:r>
      <w:bookmarkEnd w:id="33"/>
      <w:r>
        <w:rPr>
          <w:rFonts w:hint="eastAsia" w:ascii="宋体" w:hAnsi="宋体" w:eastAsia="宋体" w:cs="宋体"/>
          <w:color w:val="auto"/>
          <w:sz w:val="24"/>
          <w:szCs w:val="24"/>
          <w:highlight w:val="none"/>
        </w:rPr>
        <w:t>与支付</w:t>
      </w:r>
    </w:p>
    <w:p w14:paraId="3226985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BEADAF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90A7309">
      <w:pPr>
        <w:pStyle w:val="33"/>
        <w:rPr>
          <w:rFonts w:ascii="宋体" w:hAnsi="宋体"/>
          <w:color w:val="auto"/>
          <w:szCs w:val="24"/>
          <w:highlight w:val="none"/>
        </w:rPr>
      </w:pPr>
      <w:r>
        <w:rPr>
          <w:rFonts w:hint="eastAsia" w:ascii="宋体" w:hAnsi="宋体"/>
          <w:color w:val="auto"/>
          <w:sz w:val="24"/>
          <w:szCs w:val="24"/>
          <w:highlight w:val="none"/>
        </w:rPr>
        <w:t>3、</w:t>
      </w:r>
      <w:r>
        <w:rPr>
          <w:rFonts w:hint="eastAsia"/>
          <w:color w:val="auto"/>
          <w:highlight w:val="none"/>
        </w:rPr>
        <w:t>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640DCA87">
      <w:pPr>
        <w:pStyle w:val="3"/>
        <w:spacing w:before="0" w:after="0" w:line="520" w:lineRule="exact"/>
        <w:jc w:val="center"/>
        <w:rPr>
          <w:rFonts w:ascii="宋体" w:hAnsi="宋体" w:eastAsia="宋体" w:cs="宋体"/>
          <w:color w:val="auto"/>
          <w:sz w:val="24"/>
          <w:szCs w:val="24"/>
          <w:highlight w:val="none"/>
        </w:rPr>
      </w:pPr>
      <w:bookmarkStart w:id="34" w:name="_Toc28436"/>
      <w:r>
        <w:rPr>
          <w:rFonts w:hint="eastAsia" w:ascii="宋体" w:hAnsi="宋体" w:eastAsia="宋体" w:cs="宋体"/>
          <w:color w:val="auto"/>
          <w:sz w:val="24"/>
          <w:szCs w:val="24"/>
          <w:highlight w:val="none"/>
        </w:rPr>
        <w:t>（十一）质疑</w:t>
      </w:r>
      <w:bookmarkEnd w:id="34"/>
    </w:p>
    <w:p w14:paraId="6DDA437B">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1、质疑人认为磋商结果使自己的权益受到损害的，可以向采购人提出质疑。质疑实行实名制，应当有具体的事项及根据，不得进行虚假、恶意质疑，扰乱公共资源交易活动的正常工作秩序。</w:t>
      </w:r>
    </w:p>
    <w:p w14:paraId="198695B9">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3D9CF0C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68F124EB">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74DB2DD1">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45E59406">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6DCF286D">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A243069">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2A6BEC7">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39E78D29">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56F15E3">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636C34BC">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1A6E543B">
      <w:pPr>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B00A657">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26A21ACB">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0E8C1002">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266DB5A1">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6B6E65C">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2E0EB536">
      <w:pPr>
        <w:widowControl/>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650F4EE1">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5、经审查符合质疑条件的，自收到质疑之日起即为受理。采购人将在质疑受理后7个工作日内作出答复或相关处理决定，并以书面形式通知质疑人，答复的内容不得涉及商业秘密。</w:t>
      </w:r>
    </w:p>
    <w:p w14:paraId="29225A35">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077D7A82">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质疑人对质疑答复不满意或采购人未在规定时间内做出答复的，可以在规定期限内向监督管理局提起投诉。</w:t>
      </w:r>
    </w:p>
    <w:p w14:paraId="32B5BA8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5113DB00">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7、质疑人有下列情形之一的，属于虚假、恶意质疑，将报监督管理局予以处理。</w:t>
      </w:r>
    </w:p>
    <w:p w14:paraId="4E36EDE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07153445">
      <w:pPr>
        <w:spacing w:line="520" w:lineRule="exact"/>
        <w:ind w:firstLine="480" w:firstLineChars="200"/>
        <w:rPr>
          <w:rFonts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bookmarkStart w:id="35" w:name="_Toc216158630"/>
    </w:p>
    <w:p w14:paraId="69472DF4">
      <w:pPr>
        <w:pStyle w:val="33"/>
        <w:rPr>
          <w:rFonts w:ascii="宋体" w:hAnsi="宋体"/>
          <w:color w:val="auto"/>
          <w:highlight w:val="none"/>
        </w:rPr>
      </w:pPr>
    </w:p>
    <w:p w14:paraId="2A80203C">
      <w:pPr>
        <w:pStyle w:val="33"/>
        <w:ind w:left="0" w:leftChars="0" w:firstLine="0" w:firstLineChars="0"/>
        <w:rPr>
          <w:rFonts w:ascii="宋体" w:hAnsi="宋体"/>
          <w:color w:val="auto"/>
          <w:highlight w:val="none"/>
        </w:rPr>
      </w:pPr>
    </w:p>
    <w:p w14:paraId="619F3735">
      <w:pPr>
        <w:pStyle w:val="3"/>
        <w:spacing w:before="0" w:after="0" w:line="560" w:lineRule="exact"/>
        <w:jc w:val="center"/>
        <w:rPr>
          <w:rFonts w:hint="eastAsia" w:ascii="宋体" w:hAnsi="宋体" w:eastAsia="宋体" w:cs="宋体"/>
          <w:color w:val="auto"/>
          <w:sz w:val="28"/>
          <w:szCs w:val="28"/>
          <w:highlight w:val="none"/>
        </w:rPr>
        <w:sectPr>
          <w:footerReference r:id="rId3" w:type="default"/>
          <w:pgSz w:w="11905" w:h="16838"/>
          <w:pgMar w:top="1117" w:right="1769" w:bottom="1230" w:left="1769" w:header="879" w:footer="981" w:gutter="0"/>
          <w:cols w:space="0" w:num="1"/>
          <w:rtlGutter w:val="0"/>
          <w:docGrid w:linePitch="0" w:charSpace="0"/>
        </w:sectPr>
      </w:pPr>
      <w:bookmarkStart w:id="36" w:name="_Toc10852"/>
    </w:p>
    <w:p w14:paraId="093C78B3">
      <w:pPr>
        <w:pStyle w:val="3"/>
        <w:spacing w:before="0" w:after="0"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二、采购合同</w:t>
      </w:r>
      <w:bookmarkEnd w:id="35"/>
      <w:bookmarkEnd w:id="36"/>
      <w:bookmarkStart w:id="37" w:name="_Toc363199273"/>
    </w:p>
    <w:p w14:paraId="415DDA95">
      <w:pPr>
        <w:spacing w:before="182" w:line="211" w:lineRule="auto"/>
        <w:jc w:val="center"/>
        <w:rPr>
          <w:color w:val="auto"/>
          <w:highlight w:val="none"/>
        </w:rPr>
      </w:pPr>
    </w:p>
    <w:p w14:paraId="6DF0D651">
      <w:pPr>
        <w:jc w:val="center"/>
        <w:rPr>
          <w:b/>
          <w:bCs/>
          <w:color w:val="auto"/>
          <w:sz w:val="24"/>
          <w:szCs w:val="24"/>
          <w:highlight w:val="none"/>
        </w:rPr>
      </w:pPr>
      <w:r>
        <w:rPr>
          <w:rFonts w:hint="eastAsia"/>
          <w:b/>
          <w:bCs/>
          <w:color w:val="auto"/>
          <w:sz w:val="24"/>
          <w:szCs w:val="24"/>
          <w:highlight w:val="none"/>
          <w:lang w:val="en-US" w:eastAsia="zh-CN"/>
        </w:rPr>
        <w:t xml:space="preserve"> </w:t>
      </w:r>
      <w:r>
        <w:rPr>
          <w:rFonts w:hint="eastAsia"/>
          <w:b/>
          <w:bCs/>
          <w:color w:val="auto"/>
          <w:sz w:val="24"/>
          <w:szCs w:val="24"/>
          <w:highlight w:val="none"/>
        </w:rPr>
        <w:t>（甲乙双方可自行拟定）</w:t>
      </w:r>
    </w:p>
    <w:p w14:paraId="388F8FB3">
      <w:pPr>
        <w:rPr>
          <w:color w:val="auto"/>
          <w:highlight w:val="none"/>
        </w:rPr>
        <w:sectPr>
          <w:pgSz w:w="11905" w:h="16838"/>
          <w:pgMar w:top="1117" w:right="1769" w:bottom="1230" w:left="1769" w:header="879" w:footer="981" w:gutter="0"/>
          <w:cols w:space="0" w:num="1"/>
          <w:rtlGutter w:val="0"/>
          <w:docGrid w:linePitch="0" w:charSpace="0"/>
        </w:sectPr>
      </w:pPr>
    </w:p>
    <w:p w14:paraId="6E8780EA">
      <w:pPr>
        <w:pStyle w:val="3"/>
        <w:numPr>
          <w:ilvl w:val="1"/>
          <w:numId w:val="0"/>
        </w:numPr>
        <w:spacing w:before="0" w:after="0" w:line="560" w:lineRule="exact"/>
        <w:jc w:val="center"/>
        <w:rPr>
          <w:rFonts w:hint="eastAsia" w:ascii="宋体" w:hAnsi="宋体" w:eastAsia="宋体" w:cs="宋体"/>
          <w:sz w:val="28"/>
          <w:szCs w:val="28"/>
        </w:rPr>
      </w:pPr>
      <w:bookmarkStart w:id="38" w:name="_Toc25588"/>
      <w:bookmarkStart w:id="39" w:name="_Toc21165"/>
      <w:bookmarkStart w:id="40" w:name="_Toc25911"/>
      <w:bookmarkStart w:id="41" w:name="_Toc21831"/>
      <w:r>
        <w:rPr>
          <w:rFonts w:hint="eastAsia" w:ascii="宋体" w:hAnsi="宋体" w:eastAsia="宋体" w:cs="宋体"/>
          <w:sz w:val="28"/>
          <w:szCs w:val="28"/>
          <w:lang w:val="en-US" w:eastAsia="zh-CN"/>
        </w:rPr>
        <w:t>三、</w:t>
      </w:r>
      <w:r>
        <w:rPr>
          <w:rFonts w:hint="eastAsia" w:ascii="宋体" w:hAnsi="宋体" w:eastAsia="宋体" w:cs="宋体"/>
          <w:sz w:val="28"/>
          <w:szCs w:val="28"/>
        </w:rPr>
        <w:t>采购需求</w:t>
      </w:r>
      <w:bookmarkEnd w:id="38"/>
    </w:p>
    <w:p w14:paraId="327EC41D">
      <w:pPr>
        <w:spacing w:line="480" w:lineRule="exac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项目概况</w:t>
      </w:r>
    </w:p>
    <w:p w14:paraId="7C628DE2">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国家医疗保障局办公室关于开展医保药品耗材追溯码信息采集试点工作的通知》（医保办函〔2024〕38号）、《关于加快推进定点医药机构医保药品追溯信息采集工作的通知》等文件精神，医疗机构需对医保药品</w:t>
      </w:r>
      <w:r>
        <w:rPr>
          <w:rFonts w:hint="eastAsia" w:asciiTheme="minorEastAsia" w:hAnsiTheme="minorEastAsia" w:eastAsiaTheme="minorEastAsia" w:cstheme="minorEastAsia"/>
          <w:sz w:val="24"/>
          <w:szCs w:val="24"/>
          <w:highlight w:val="none"/>
          <w:lang w:val="en-US" w:eastAsia="zh-CN"/>
        </w:rPr>
        <w:t>耗材</w:t>
      </w:r>
      <w:r>
        <w:rPr>
          <w:rFonts w:hint="eastAsia" w:asciiTheme="minorEastAsia" w:hAnsiTheme="minorEastAsia" w:eastAsiaTheme="minorEastAsia" w:cstheme="minorEastAsia"/>
          <w:sz w:val="24"/>
          <w:szCs w:val="24"/>
          <w:highlight w:val="none"/>
        </w:rPr>
        <w:t>追溯码“应采尽采、应传尽传”。医保局根据医疗机构“依码结算、依码支付”情况，进行医保基金的结算和预付。为落实医保局相关工作要求，特采购药品</w:t>
      </w:r>
      <w:r>
        <w:rPr>
          <w:rFonts w:hint="eastAsia" w:asciiTheme="minorEastAsia" w:hAnsiTheme="minorEastAsia" w:eastAsiaTheme="minorEastAsia" w:cstheme="minorEastAsia"/>
          <w:sz w:val="24"/>
          <w:szCs w:val="24"/>
          <w:highlight w:val="none"/>
          <w:lang w:val="en-US" w:eastAsia="zh-CN"/>
        </w:rPr>
        <w:t>耗材</w:t>
      </w:r>
      <w:r>
        <w:rPr>
          <w:rFonts w:hint="eastAsia" w:asciiTheme="minorEastAsia" w:hAnsiTheme="minorEastAsia" w:eastAsiaTheme="minorEastAsia" w:cstheme="minorEastAsia"/>
          <w:sz w:val="24"/>
          <w:szCs w:val="24"/>
          <w:highlight w:val="none"/>
        </w:rPr>
        <w:t>追溯码管理系统及配套硬件设备。</w:t>
      </w:r>
    </w:p>
    <w:p w14:paraId="2607264E">
      <w:pPr>
        <w:numPr>
          <w:ilvl w:val="0"/>
          <w:numId w:val="0"/>
        </w:numPr>
        <w:spacing w:line="48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2"/>
          <w:sz w:val="24"/>
          <w:szCs w:val="24"/>
          <w:highlight w:val="none"/>
          <w:lang w:val="en-US" w:eastAsia="zh-CN" w:bidi="ar-SA"/>
        </w:rPr>
        <w:t>（二）</w:t>
      </w:r>
      <w:r>
        <w:rPr>
          <w:rFonts w:hint="eastAsia" w:asciiTheme="minorEastAsia" w:hAnsiTheme="minorEastAsia" w:eastAsiaTheme="minorEastAsia" w:cstheme="minorEastAsia"/>
          <w:b/>
          <w:bCs/>
          <w:sz w:val="24"/>
          <w:szCs w:val="24"/>
          <w:highlight w:val="none"/>
          <w:lang w:val="en-US" w:eastAsia="zh-CN"/>
        </w:rPr>
        <w:t>相关</w:t>
      </w:r>
      <w:r>
        <w:rPr>
          <w:rFonts w:hint="eastAsia" w:asciiTheme="minorEastAsia" w:hAnsiTheme="minorEastAsia" w:eastAsiaTheme="minorEastAsia" w:cstheme="minorEastAsia"/>
          <w:b/>
          <w:bCs/>
          <w:sz w:val="24"/>
          <w:szCs w:val="24"/>
          <w:highlight w:val="none"/>
        </w:rPr>
        <w:t>要求</w:t>
      </w:r>
    </w:p>
    <w:p w14:paraId="47CF7392">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1、系统能够对医院所有含追溯码的药品实现全品种、全量采集并上传至医保信息平台，追溯码采集率、合规率符合医保局规定要求。</w:t>
      </w:r>
    </w:p>
    <w:p w14:paraId="561651AF">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2、能够全流程记录药品的购进、使用、库存以及追溯码等信息。</w:t>
      </w:r>
    </w:p>
    <w:p w14:paraId="1E2F645A">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全院所有院区，包括门急诊药房、静配中心、药库、住院药房的整盒及拆零等药品实现追溯码采集上传工作；同时具备药库、门急诊药房、住院药房、静配中心、三级库、出院带药、退药、报表管理等药品追溯码管理功能模块。</w:t>
      </w:r>
    </w:p>
    <w:p w14:paraId="56D41A7C">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4、当医保及药监部门政策要求变更时，如接收平台更换、接收代码变更等，能够终身对系统进行免费升级及改造且根据医院要求免费对接其他第三方软件系统，包括免费完成耗材、中药饮片追溯码</w:t>
      </w:r>
      <w:r>
        <w:rPr>
          <w:rFonts w:hint="eastAsia" w:asciiTheme="minorEastAsia" w:hAnsiTheme="minorEastAsia" w:eastAsiaTheme="minorEastAsia" w:cstheme="minorEastAsia"/>
          <w:sz w:val="24"/>
          <w:szCs w:val="24"/>
          <w:highlight w:val="none"/>
          <w:lang w:val="en-US" w:eastAsia="zh-CN"/>
        </w:rPr>
        <w:t>的采集、</w:t>
      </w:r>
      <w:r>
        <w:rPr>
          <w:rFonts w:hint="eastAsia" w:asciiTheme="minorEastAsia" w:hAnsiTheme="minorEastAsia" w:eastAsiaTheme="minorEastAsia" w:cstheme="minorEastAsia"/>
          <w:sz w:val="24"/>
          <w:szCs w:val="24"/>
          <w:highlight w:val="none"/>
        </w:rPr>
        <w:t>上传</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管理等</w:t>
      </w:r>
      <w:r>
        <w:rPr>
          <w:rFonts w:hint="eastAsia" w:asciiTheme="minorEastAsia" w:hAnsiTheme="minorEastAsia" w:eastAsiaTheme="minorEastAsia" w:cstheme="minorEastAsia"/>
          <w:sz w:val="24"/>
          <w:szCs w:val="24"/>
          <w:highlight w:val="none"/>
        </w:rPr>
        <w:t>。</w:t>
      </w:r>
    </w:p>
    <w:p w14:paraId="0D8A9FD1">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5、系统性能要求：支持多品种多数量追溯码批量采集上传，支持同一患者多张处方一次性核发上传；软件弹框对错误、多拿、少拿</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过期</w:t>
      </w:r>
      <w:r>
        <w:rPr>
          <w:rFonts w:hint="eastAsia" w:asciiTheme="minorEastAsia" w:hAnsiTheme="minorEastAsia" w:eastAsiaTheme="minorEastAsia" w:cstheme="minorEastAsia"/>
          <w:sz w:val="24"/>
          <w:szCs w:val="24"/>
          <w:highlight w:val="none"/>
        </w:rPr>
        <w:t>药品进行提示；可支持在发药和摆药两个阶段进行药品追溯码扫描。</w:t>
      </w:r>
    </w:p>
    <w:p w14:paraId="51740BAB">
      <w:pPr>
        <w:spacing w:line="48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6、应保证满足上级主管医保部门的文件要求，并确保在文件的期限内进行相应的系统维护，如不能在其规定的期限内完成，给医院造成损失的，需承担相应的法律责任。</w:t>
      </w:r>
    </w:p>
    <w:p w14:paraId="71E880A5">
      <w:pPr>
        <w:spacing w:line="480" w:lineRule="exact"/>
        <w:ind w:firstLine="480"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z w:val="24"/>
          <w:szCs w:val="24"/>
          <w:highlight w:val="none"/>
        </w:rPr>
        <w:t>7、其他要求：后期如果医保局以奖代补发放医院追溯码采集上传设备，须无条件、免费配合医院安装升级或调试，不得以软硬件绑定销售。</w:t>
      </w:r>
    </w:p>
    <w:p w14:paraId="537D4235">
      <w:pPr>
        <w:spacing w:line="360" w:lineRule="auto"/>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2"/>
        </w:rPr>
        <w:t>标识符号说明</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271"/>
        <w:gridCol w:w="3462"/>
      </w:tblGrid>
      <w:tr w14:paraId="6EA4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noWrap w:val="0"/>
            <w:vAlign w:val="center"/>
          </w:tcPr>
          <w:p w14:paraId="41C6F33B">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标识注释</w:t>
            </w:r>
          </w:p>
        </w:tc>
        <w:tc>
          <w:tcPr>
            <w:tcW w:w="2395" w:type="dxa"/>
            <w:noWrap w:val="0"/>
            <w:vAlign w:val="center"/>
          </w:tcPr>
          <w:p w14:paraId="60FE4793">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标识符号</w:t>
            </w:r>
          </w:p>
        </w:tc>
        <w:tc>
          <w:tcPr>
            <w:tcW w:w="3651" w:type="dxa"/>
            <w:noWrap w:val="0"/>
            <w:vAlign w:val="center"/>
          </w:tcPr>
          <w:p w14:paraId="3EE65A6C">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代表意思</w:t>
            </w:r>
          </w:p>
        </w:tc>
      </w:tr>
      <w:tr w14:paraId="3D1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noWrap w:val="0"/>
            <w:vAlign w:val="center"/>
          </w:tcPr>
          <w:p w14:paraId="41C90640">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指标项</w:t>
            </w:r>
          </w:p>
        </w:tc>
        <w:tc>
          <w:tcPr>
            <w:tcW w:w="2395" w:type="dxa"/>
            <w:noWrap w:val="0"/>
            <w:vAlign w:val="center"/>
          </w:tcPr>
          <w:p w14:paraId="0A029264">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w:t>
            </w:r>
          </w:p>
        </w:tc>
        <w:tc>
          <w:tcPr>
            <w:tcW w:w="3651" w:type="dxa"/>
            <w:noWrap w:val="0"/>
            <w:vAlign w:val="center"/>
          </w:tcPr>
          <w:p w14:paraId="0715CA2F">
            <w:pPr>
              <w:spacing w:line="360" w:lineRule="auto"/>
              <w:jc w:val="center"/>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sz w:val="24"/>
                <w:szCs w:val="24"/>
              </w:rPr>
              <w:t>评分项</w:t>
            </w:r>
          </w:p>
        </w:tc>
      </w:tr>
      <w:tr w14:paraId="5AF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noWrap w:val="0"/>
            <w:vAlign w:val="center"/>
          </w:tcPr>
          <w:p w14:paraId="324FF622">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非标识项</w:t>
            </w:r>
          </w:p>
        </w:tc>
        <w:tc>
          <w:tcPr>
            <w:tcW w:w="2395" w:type="dxa"/>
            <w:noWrap w:val="0"/>
            <w:vAlign w:val="center"/>
          </w:tcPr>
          <w:p w14:paraId="26777B12">
            <w:pPr>
              <w:spacing w:line="360" w:lineRule="auto"/>
              <w:jc w:val="left"/>
              <w:rPr>
                <w:rFonts w:hint="eastAsia" w:asciiTheme="minorEastAsia" w:hAnsiTheme="minorEastAsia" w:eastAsiaTheme="minorEastAsia" w:cstheme="minorEastAsia"/>
                <w:sz w:val="24"/>
                <w:szCs w:val="24"/>
                <w:lang w:val="en-US" w:eastAsia="zh-CN"/>
              </w:rPr>
            </w:pPr>
          </w:p>
        </w:tc>
        <w:tc>
          <w:tcPr>
            <w:tcW w:w="3651" w:type="dxa"/>
            <w:noWrap w:val="0"/>
            <w:vAlign w:val="center"/>
          </w:tcPr>
          <w:p w14:paraId="1F3A1A2D">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highlight w:val="none"/>
              </w:rPr>
              <w:t>采购需求中未标注特定标识项，不参与评分，但必须满足或优于。</w:t>
            </w:r>
          </w:p>
        </w:tc>
      </w:tr>
    </w:tbl>
    <w:p w14:paraId="5058B8CE">
      <w:pPr>
        <w:numPr>
          <w:ilvl w:val="0"/>
          <w:numId w:val="2"/>
        </w:numPr>
        <w:spacing w:line="48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技术要求</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42"/>
        <w:gridCol w:w="1492"/>
        <w:gridCol w:w="4578"/>
        <w:gridCol w:w="1284"/>
      </w:tblGrid>
      <w:tr w14:paraId="1FA1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300" w:type="dxa"/>
            <w:gridSpan w:val="5"/>
            <w:vAlign w:val="center"/>
          </w:tcPr>
          <w:p w14:paraId="7DB4DFB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b/>
                <w:bCs/>
                <w:sz w:val="24"/>
                <w:szCs w:val="24"/>
                <w14:ligatures w14:val="none"/>
              </w:rPr>
              <w:t>技术参数</w:t>
            </w:r>
          </w:p>
        </w:tc>
      </w:tr>
      <w:tr w14:paraId="49B4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4" w:type="dxa"/>
            <w:vAlign w:val="center"/>
          </w:tcPr>
          <w:p w14:paraId="1920793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bCs/>
                <w:kern w:val="0"/>
                <w:sz w:val="24"/>
                <w:szCs w:val="24"/>
                <w:lang w:val="en-US" w:eastAsia="zh-CN"/>
                <w14:ligatures w14:val="none"/>
              </w:rPr>
            </w:pPr>
            <w:r>
              <w:rPr>
                <w:rFonts w:hint="eastAsia" w:asciiTheme="minorEastAsia" w:hAnsiTheme="minorEastAsia" w:eastAsiaTheme="minorEastAsia" w:cstheme="minorEastAsia"/>
                <w:b/>
                <w:bCs/>
                <w:sz w:val="24"/>
                <w:szCs w:val="24"/>
                <w:lang w:val="en-US" w:eastAsia="zh-CN"/>
                <w14:ligatures w14:val="none"/>
              </w:rPr>
              <w:t>序号</w:t>
            </w:r>
          </w:p>
        </w:tc>
        <w:tc>
          <w:tcPr>
            <w:tcW w:w="1142" w:type="dxa"/>
            <w:vAlign w:val="center"/>
          </w:tcPr>
          <w:p w14:paraId="16F73AB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bCs/>
                <w:kern w:val="0"/>
                <w:sz w:val="24"/>
                <w:szCs w:val="24"/>
                <w14:ligatures w14:val="none"/>
              </w:rPr>
            </w:pPr>
            <w:r>
              <w:rPr>
                <w:rFonts w:hint="eastAsia" w:asciiTheme="minorEastAsia" w:hAnsiTheme="minorEastAsia" w:eastAsiaTheme="minorEastAsia" w:cstheme="minorEastAsia"/>
                <w:b/>
                <w:bCs/>
                <w:sz w:val="24"/>
                <w:szCs w:val="24"/>
                <w:lang w:val="en-US" w:eastAsia="zh-CN"/>
                <w14:ligatures w14:val="none"/>
              </w:rPr>
              <w:t>名称</w:t>
            </w:r>
          </w:p>
        </w:tc>
        <w:tc>
          <w:tcPr>
            <w:tcW w:w="1492" w:type="dxa"/>
            <w:vAlign w:val="center"/>
          </w:tcPr>
          <w:p w14:paraId="16D1A7C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bCs/>
                <w:sz w:val="24"/>
                <w:szCs w:val="24"/>
                <w14:ligatures w14:val="none"/>
              </w:rPr>
            </w:pPr>
            <w:r>
              <w:rPr>
                <w:rFonts w:hint="eastAsia" w:asciiTheme="minorEastAsia" w:hAnsiTheme="minorEastAsia" w:eastAsiaTheme="minorEastAsia" w:cstheme="minorEastAsia"/>
                <w:b/>
                <w:bCs/>
                <w:sz w:val="24"/>
                <w:szCs w:val="24"/>
                <w:lang w:val="en-US" w:eastAsia="zh-CN"/>
                <w14:ligatures w14:val="none"/>
              </w:rPr>
              <w:t>模块</w:t>
            </w:r>
          </w:p>
        </w:tc>
        <w:tc>
          <w:tcPr>
            <w:tcW w:w="4578" w:type="dxa"/>
            <w:vAlign w:val="center"/>
          </w:tcPr>
          <w:p w14:paraId="2D77E36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bCs/>
                <w:sz w:val="24"/>
                <w:szCs w:val="24"/>
                <w:lang w:val="en-US" w:eastAsia="zh-CN"/>
                <w14:ligatures w14:val="none"/>
              </w:rPr>
            </w:pPr>
            <w:r>
              <w:rPr>
                <w:rFonts w:hint="eastAsia" w:asciiTheme="minorEastAsia" w:hAnsiTheme="minorEastAsia" w:eastAsiaTheme="minorEastAsia" w:cstheme="minorEastAsia"/>
                <w:b/>
                <w:bCs/>
                <w:sz w:val="24"/>
                <w:szCs w:val="24"/>
                <w:lang w:val="en-US" w:eastAsia="zh-CN"/>
                <w14:ligatures w14:val="none"/>
              </w:rPr>
              <w:t>参数</w:t>
            </w:r>
          </w:p>
        </w:tc>
        <w:tc>
          <w:tcPr>
            <w:tcW w:w="1284" w:type="dxa"/>
            <w:vAlign w:val="center"/>
          </w:tcPr>
          <w:p w14:paraId="7DBC275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bCs/>
                <w:kern w:val="0"/>
                <w:sz w:val="24"/>
                <w:szCs w:val="24"/>
                <w:lang w:val="en-US" w:eastAsia="zh-CN"/>
                <w14:ligatures w14:val="none"/>
              </w:rPr>
            </w:pPr>
            <w:r>
              <w:rPr>
                <w:rFonts w:hint="eastAsia" w:asciiTheme="minorEastAsia" w:hAnsiTheme="minorEastAsia" w:eastAsiaTheme="minorEastAsia" w:cstheme="minorEastAsia"/>
                <w:b/>
                <w:bCs/>
                <w:sz w:val="24"/>
                <w:szCs w:val="24"/>
                <w:lang w:val="en-US" w:eastAsia="zh-CN"/>
                <w14:ligatures w14:val="none"/>
              </w:rPr>
              <w:t>数量</w:t>
            </w:r>
          </w:p>
        </w:tc>
      </w:tr>
      <w:tr w14:paraId="77D8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804" w:type="dxa"/>
            <w:vMerge w:val="restart"/>
            <w:vAlign w:val="center"/>
          </w:tcPr>
          <w:p w14:paraId="0DF2F0A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1</w:t>
            </w:r>
          </w:p>
        </w:tc>
        <w:tc>
          <w:tcPr>
            <w:tcW w:w="1142" w:type="dxa"/>
            <w:vMerge w:val="restart"/>
            <w:vAlign w:val="center"/>
          </w:tcPr>
          <w:p w14:paraId="0285CA1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药品</w:t>
            </w:r>
            <w:r>
              <w:rPr>
                <w:rFonts w:hint="eastAsia" w:asciiTheme="minorEastAsia" w:hAnsiTheme="minorEastAsia" w:eastAsiaTheme="minorEastAsia" w:cstheme="minorEastAsia"/>
                <w:kern w:val="0"/>
                <w:sz w:val="24"/>
                <w:szCs w:val="24"/>
                <w:lang w:val="en-US" w:eastAsia="zh-CN"/>
                <w14:ligatures w14:val="none"/>
              </w:rPr>
              <w:t>耗材</w:t>
            </w:r>
            <w:r>
              <w:rPr>
                <w:rFonts w:hint="eastAsia" w:asciiTheme="minorEastAsia" w:hAnsiTheme="minorEastAsia" w:eastAsiaTheme="minorEastAsia" w:cstheme="minorEastAsia"/>
                <w:kern w:val="0"/>
                <w:sz w:val="24"/>
                <w:szCs w:val="24"/>
                <w14:ligatures w14:val="none"/>
              </w:rPr>
              <w:t>追溯</w:t>
            </w:r>
            <w:r>
              <w:rPr>
                <w:rFonts w:hint="eastAsia" w:asciiTheme="minorEastAsia" w:hAnsiTheme="minorEastAsia" w:eastAsiaTheme="minorEastAsia" w:cstheme="minorEastAsia"/>
                <w:kern w:val="0"/>
                <w:sz w:val="24"/>
                <w:szCs w:val="24"/>
                <w:lang w:val="en-US" w:eastAsia="zh-CN"/>
                <w14:ligatures w14:val="none"/>
              </w:rPr>
              <w:t>码管理平台</w:t>
            </w:r>
            <w:r>
              <w:rPr>
                <w:rFonts w:hint="eastAsia" w:asciiTheme="minorEastAsia" w:hAnsiTheme="minorEastAsia" w:eastAsiaTheme="minorEastAsia" w:cstheme="minorEastAsia"/>
                <w:kern w:val="0"/>
                <w:sz w:val="24"/>
                <w:szCs w:val="24"/>
                <w14:ligatures w14:val="none"/>
              </w:rPr>
              <w:t>系统</w:t>
            </w:r>
          </w:p>
        </w:tc>
        <w:tc>
          <w:tcPr>
            <w:tcW w:w="1492" w:type="dxa"/>
            <w:vMerge w:val="restart"/>
            <w:vAlign w:val="center"/>
          </w:tcPr>
          <w:p w14:paraId="70ED67A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kern w:val="0"/>
                <w:sz w:val="24"/>
                <w:szCs w:val="24"/>
                <w:lang w:val="en-US" w:eastAsia="zh-CN"/>
                <w14:ligatures w14:val="none"/>
              </w:rPr>
            </w:pPr>
            <w:r>
              <w:rPr>
                <w:rFonts w:hint="eastAsia" w:asciiTheme="minorEastAsia" w:hAnsiTheme="minorEastAsia" w:eastAsiaTheme="minorEastAsia" w:cstheme="minorEastAsia"/>
                <w:b w:val="0"/>
                <w:bCs w:val="0"/>
                <w:kern w:val="0"/>
                <w:sz w:val="24"/>
                <w:szCs w:val="24"/>
                <w:lang w:val="en-US" w:eastAsia="zh-CN"/>
                <w14:ligatures w14:val="none"/>
              </w:rPr>
              <w:t>核心功能</w:t>
            </w:r>
          </w:p>
        </w:tc>
        <w:tc>
          <w:tcPr>
            <w:tcW w:w="4578" w:type="dxa"/>
            <w:vAlign w:val="center"/>
          </w:tcPr>
          <w:p w14:paraId="7AD8D5D1">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数据接口：与码上放心平台、医保局、HIS系统等无缝对接，并可将各环节采集到的药品追溯码信息按照国家医保局的相关要求回传给HIS或集成平台，成功上传到医保信息平台，实现从药品入库到分发的全流程追溯。</w:t>
            </w:r>
          </w:p>
        </w:tc>
        <w:tc>
          <w:tcPr>
            <w:tcW w:w="1284" w:type="dxa"/>
            <w:vMerge w:val="restart"/>
            <w:vAlign w:val="center"/>
          </w:tcPr>
          <w:p w14:paraId="1EF6812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1套</w:t>
            </w:r>
          </w:p>
        </w:tc>
      </w:tr>
      <w:tr w14:paraId="60D2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04" w:type="dxa"/>
            <w:vMerge w:val="continue"/>
            <w:vAlign w:val="center"/>
          </w:tcPr>
          <w:p w14:paraId="17F189C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1ADB3D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2278E4B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2B239E3A">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可满足多系统之间互联互通要求，方便后期对数据接口以及软件故障排查，系统需具备日志功能，方便后期日常维护工作。</w:t>
            </w:r>
          </w:p>
        </w:tc>
        <w:tc>
          <w:tcPr>
            <w:tcW w:w="1284" w:type="dxa"/>
            <w:vMerge w:val="continue"/>
            <w:vAlign w:val="center"/>
          </w:tcPr>
          <w:p w14:paraId="738DE75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9F0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04" w:type="dxa"/>
            <w:vMerge w:val="continue"/>
            <w:vAlign w:val="center"/>
          </w:tcPr>
          <w:p w14:paraId="04DB1C3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E8E626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95909A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B50D72A">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14:ligatures w14:val="none"/>
              </w:rPr>
            </w:pPr>
            <w:r>
              <w:rPr>
                <w:rFonts w:hint="eastAsia" w:asciiTheme="minorEastAsia" w:hAnsiTheme="minorEastAsia" w:eastAsiaTheme="minorEastAsia" w:cstheme="minorEastAsia"/>
                <w:b w:val="0"/>
                <w:bCs w:val="0"/>
                <w:kern w:val="0"/>
                <w:sz w:val="24"/>
                <w:szCs w:val="24"/>
                <w14:ligatures w14:val="none"/>
              </w:rPr>
              <w:t>为保证系统数据安全，系统支持选择是否开启数据备份服务，以及备份周期进行选择，支持自定义设置历史数据保留时长。</w:t>
            </w:r>
          </w:p>
        </w:tc>
        <w:tc>
          <w:tcPr>
            <w:tcW w:w="1284" w:type="dxa"/>
            <w:vMerge w:val="continue"/>
            <w:vAlign w:val="center"/>
          </w:tcPr>
          <w:p w14:paraId="5C283EB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3FF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51A2E4E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FDD915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526BDFF8">
            <w:pPr>
              <w:keepNext w:val="0"/>
              <w:keepLines w:val="0"/>
              <w:pageBreakBefore w:val="0"/>
              <w:widowControl w:val="0"/>
              <w:numPr>
                <w:ilvl w:val="0"/>
                <w:numId w:val="0"/>
              </w:numPr>
              <w:kinsoku/>
              <w:wordWrap w:val="0"/>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b w:val="0"/>
                <w:bCs w:val="0"/>
                <w:kern w:val="2"/>
                <w:sz w:val="24"/>
                <w:szCs w:val="24"/>
                <w:lang w:val="en-US" w:eastAsia="zh-CN" w:bidi="ar-SA"/>
                <w14:ligatures w14:val="none"/>
              </w:rPr>
            </w:pPr>
          </w:p>
        </w:tc>
        <w:tc>
          <w:tcPr>
            <w:tcW w:w="4578" w:type="dxa"/>
            <w:vAlign w:val="center"/>
          </w:tcPr>
          <w:p w14:paraId="39E02489">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系统自带药品字典库(包含药品追溯码信息),支持接口对接和手工维护两种方式，至少能存储1年的药品追溯码数据。</w:t>
            </w:r>
          </w:p>
        </w:tc>
        <w:tc>
          <w:tcPr>
            <w:tcW w:w="1284" w:type="dxa"/>
            <w:vMerge w:val="continue"/>
            <w:vAlign w:val="center"/>
          </w:tcPr>
          <w:p w14:paraId="4880A73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793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04" w:type="dxa"/>
            <w:vMerge w:val="continue"/>
            <w:vAlign w:val="center"/>
          </w:tcPr>
          <w:p w14:paraId="26473F8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FBFD5B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5B04509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151406B6">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系统需支持拓展功能，后期可根据医保政策要求以及医院实际工作改造、升级以及拓展相应模块以满足实际工作需求，后期如有智能药柜</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lang w:val="en-US" w:eastAsia="zh-CN"/>
                <w14:ligatures w14:val="none"/>
              </w:rPr>
              <w:t>移动护理管理</w:t>
            </w:r>
            <w:r>
              <w:rPr>
                <w:rFonts w:hint="eastAsia" w:asciiTheme="minorEastAsia" w:hAnsiTheme="minorEastAsia" w:eastAsiaTheme="minorEastAsia" w:cstheme="minorEastAsia"/>
                <w:b w:val="0"/>
                <w:bCs w:val="0"/>
                <w:kern w:val="0"/>
                <w:sz w:val="24"/>
                <w:szCs w:val="24"/>
                <w14:ligatures w14:val="none"/>
              </w:rPr>
              <w:t>等需要支持和对接。</w:t>
            </w:r>
          </w:p>
        </w:tc>
        <w:tc>
          <w:tcPr>
            <w:tcW w:w="1284" w:type="dxa"/>
            <w:vMerge w:val="continue"/>
            <w:vAlign w:val="center"/>
          </w:tcPr>
          <w:p w14:paraId="529515F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1FC3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804" w:type="dxa"/>
            <w:vMerge w:val="continue"/>
            <w:vAlign w:val="center"/>
          </w:tcPr>
          <w:p w14:paraId="3ECFD8C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573833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12FE895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6DCDB782">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★系统需支持适配信创功能[响应文件中提供</w:t>
            </w:r>
            <w:r>
              <w:rPr>
                <w:rFonts w:hint="eastAsia" w:asciiTheme="minorEastAsia" w:hAnsiTheme="minorEastAsia" w:eastAsiaTheme="minorEastAsia" w:cstheme="minorEastAsia"/>
                <w:b w:val="0"/>
                <w:bCs w:val="0"/>
                <w:kern w:val="0"/>
                <w:sz w:val="24"/>
                <w:szCs w:val="24"/>
                <w:lang w:val="en-US" w:eastAsia="zh-CN"/>
                <w14:ligatures w14:val="none"/>
              </w:rPr>
              <w:t>相关信创认证证明</w:t>
            </w:r>
            <w:r>
              <w:rPr>
                <w:rFonts w:hint="eastAsia" w:asciiTheme="minorEastAsia" w:hAnsiTheme="minorEastAsia" w:eastAsiaTheme="minorEastAsia" w:cstheme="minorEastAsia"/>
                <w:b w:val="0"/>
                <w:bCs w:val="0"/>
                <w:kern w:val="0"/>
                <w:sz w:val="24"/>
                <w:szCs w:val="24"/>
                <w14:ligatures w14:val="none"/>
              </w:rPr>
              <w:t>截图,并加盖供应商公章或电子签章</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或加盖</w:t>
            </w:r>
            <w:r>
              <w:rPr>
                <w:rFonts w:hint="eastAsia" w:asciiTheme="minorEastAsia" w:hAnsiTheme="minorEastAsia" w:eastAsiaTheme="minorEastAsia" w:cstheme="minorEastAsia"/>
                <w:b w:val="0"/>
                <w:bCs w:val="0"/>
                <w:kern w:val="0"/>
                <w:sz w:val="24"/>
                <w:szCs w:val="24"/>
                <w:lang w:val="en-US" w:eastAsia="zh-CN"/>
                <w14:ligatures w14:val="none"/>
              </w:rPr>
              <w:t>有</w:t>
            </w:r>
            <w:r>
              <w:rPr>
                <w:rFonts w:hint="eastAsia" w:asciiTheme="minorEastAsia" w:hAnsiTheme="minorEastAsia" w:eastAsiaTheme="minorEastAsia" w:cstheme="minorEastAsia"/>
                <w:b w:val="0"/>
                <w:bCs w:val="0"/>
                <w:kern w:val="0"/>
                <w:sz w:val="24"/>
                <w:szCs w:val="24"/>
                <w14:ligatures w14:val="none"/>
              </w:rPr>
              <w:t>供应商公章或电子签章的承诺函,格式自拟</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w:t>
            </w:r>
          </w:p>
        </w:tc>
        <w:tc>
          <w:tcPr>
            <w:tcW w:w="1284" w:type="dxa"/>
            <w:vMerge w:val="continue"/>
            <w:vAlign w:val="center"/>
          </w:tcPr>
          <w:p w14:paraId="402B9B3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63B2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4135729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A55000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4C37D91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17D65F7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具备通过接口方式上传完整准确的追溯码信息至医保结算平台的功能。</w:t>
            </w:r>
          </w:p>
        </w:tc>
        <w:tc>
          <w:tcPr>
            <w:tcW w:w="1284" w:type="dxa"/>
            <w:vMerge w:val="continue"/>
            <w:vAlign w:val="center"/>
          </w:tcPr>
          <w:p w14:paraId="7F609E7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02A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804" w:type="dxa"/>
            <w:vMerge w:val="continue"/>
            <w:vAlign w:val="center"/>
          </w:tcPr>
          <w:p w14:paraId="1848494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07F5AF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C63FF6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31D9C081">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为了保证数据安全和医院信息安全，必须保证全内网应用，除医保数据、省招采数据上报外，任何数据不得离开甲方局域网；第三方公司不得通过任何方式在院外获取、存储医院任何数据。[响应文件中提供官网功能截图、软件截图、功能界面截图(提供其中之一即可)，并加盖供应商公章或电子签章]。</w:t>
            </w:r>
          </w:p>
        </w:tc>
        <w:tc>
          <w:tcPr>
            <w:tcW w:w="1284" w:type="dxa"/>
            <w:vMerge w:val="continue"/>
            <w:vAlign w:val="center"/>
          </w:tcPr>
          <w:p w14:paraId="002258B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44E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804" w:type="dxa"/>
            <w:vMerge w:val="continue"/>
            <w:vAlign w:val="center"/>
          </w:tcPr>
          <w:p w14:paraId="60726D8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F48F3C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restart"/>
            <w:vAlign w:val="center"/>
          </w:tcPr>
          <w:p w14:paraId="5C2B5D1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lang w:val="en-US" w:eastAsia="zh-CN"/>
                <w14:ligatures w14:val="none"/>
              </w:rPr>
            </w:pPr>
            <w:r>
              <w:rPr>
                <w:rFonts w:hint="eastAsia" w:asciiTheme="minorEastAsia" w:hAnsiTheme="minorEastAsia" w:eastAsiaTheme="minorEastAsia" w:cstheme="minorEastAsia"/>
                <w:b w:val="0"/>
                <w:bCs w:val="0"/>
                <w:sz w:val="24"/>
                <w:szCs w:val="24"/>
                <w:lang w:val="en-US" w:eastAsia="zh-CN"/>
                <w14:ligatures w14:val="none"/>
              </w:rPr>
              <w:t>药库功能</w:t>
            </w:r>
          </w:p>
        </w:tc>
        <w:tc>
          <w:tcPr>
            <w:tcW w:w="4578" w:type="dxa"/>
            <w:vAlign w:val="center"/>
          </w:tcPr>
          <w:p w14:paraId="35C59EB1">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采购计划：系统接入省招采平台，根据采购所提计划，自动生成相应匹配的模版，并可通过该模版将采购计划上传至省招采平台，人工无需逐条录入。</w:t>
            </w:r>
          </w:p>
        </w:tc>
        <w:tc>
          <w:tcPr>
            <w:tcW w:w="1284" w:type="dxa"/>
            <w:vMerge w:val="continue"/>
            <w:vAlign w:val="center"/>
          </w:tcPr>
          <w:p w14:paraId="20C6126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845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804" w:type="dxa"/>
            <w:vMerge w:val="continue"/>
            <w:vAlign w:val="center"/>
          </w:tcPr>
          <w:p w14:paraId="517CF3D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2BDA44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27670C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lang w:val="en-US" w:eastAsia="zh-CN"/>
                <w14:ligatures w14:val="none"/>
              </w:rPr>
            </w:pPr>
          </w:p>
        </w:tc>
        <w:tc>
          <w:tcPr>
            <w:tcW w:w="4578" w:type="dxa"/>
            <w:vAlign w:val="center"/>
          </w:tcPr>
          <w:p w14:paraId="7D8E0EC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highlight w:val="none"/>
                <w14:ligatures w14:val="none"/>
              </w:rPr>
            </w:pPr>
            <w:r>
              <w:rPr>
                <w:rFonts w:hint="eastAsia" w:asciiTheme="minorEastAsia" w:hAnsiTheme="minorEastAsia" w:eastAsiaTheme="minorEastAsia" w:cstheme="minorEastAsia"/>
                <w:b w:val="0"/>
                <w:bCs w:val="0"/>
                <w:kern w:val="0"/>
                <w:sz w:val="24"/>
                <w:szCs w:val="24"/>
                <w:highlight w:val="none"/>
                <w:lang w:val="en-US" w:eastAsia="zh-CN"/>
                <w14:ligatures w14:val="none"/>
              </w:rPr>
              <w:t>支持与药品供应商打通信息壁垒从而将配送信息上传给医院，对具备开发能力的供应商提供API接口，对不具备开发能力的供应商提供可替代的可行方案。</w:t>
            </w:r>
          </w:p>
        </w:tc>
        <w:tc>
          <w:tcPr>
            <w:tcW w:w="1284" w:type="dxa"/>
            <w:vMerge w:val="continue"/>
            <w:vAlign w:val="center"/>
          </w:tcPr>
          <w:p w14:paraId="4796ED3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9F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04" w:type="dxa"/>
            <w:vMerge w:val="continue"/>
            <w:vAlign w:val="center"/>
          </w:tcPr>
          <w:p w14:paraId="325B5A7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142" w:type="dxa"/>
            <w:vMerge w:val="continue"/>
            <w:vAlign w:val="center"/>
          </w:tcPr>
          <w:p w14:paraId="3A08C27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492" w:type="dxa"/>
            <w:vMerge w:val="continue"/>
            <w:vAlign w:val="center"/>
          </w:tcPr>
          <w:p w14:paraId="18CFA6B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1B2567C">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追溯码采集：无需拆箱，扫描大包装外箱码即可自动获取大包装内所有最小包装药品追溯码信息。</w:t>
            </w:r>
          </w:p>
        </w:tc>
        <w:tc>
          <w:tcPr>
            <w:tcW w:w="1284" w:type="dxa"/>
            <w:vMerge w:val="continue"/>
            <w:vAlign w:val="center"/>
          </w:tcPr>
          <w:p w14:paraId="6E474E3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r>
      <w:tr w14:paraId="6E10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294ED5B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142" w:type="dxa"/>
            <w:vMerge w:val="continue"/>
            <w:vAlign w:val="center"/>
          </w:tcPr>
          <w:p w14:paraId="44358D2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492" w:type="dxa"/>
            <w:vMerge w:val="continue"/>
            <w:vAlign w:val="center"/>
          </w:tcPr>
          <w:p w14:paraId="3E4850D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629CF0EC">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扫码入库信息核验：支持通过设备采集到的追溯码与入库单信息智能匹配核对；采用PDA扫发票条码自动关联入库单信息一键入库，支持发票和药品追溯码的全量或部分核销，快速实现入库环节追溯码采集并上报给医保采集系统。</w:t>
            </w:r>
          </w:p>
        </w:tc>
        <w:tc>
          <w:tcPr>
            <w:tcW w:w="1284" w:type="dxa"/>
            <w:vMerge w:val="continue"/>
            <w:vAlign w:val="center"/>
          </w:tcPr>
          <w:p w14:paraId="703EDE4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r>
      <w:tr w14:paraId="2D88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804" w:type="dxa"/>
            <w:vMerge w:val="continue"/>
            <w:vAlign w:val="center"/>
          </w:tcPr>
          <w:p w14:paraId="6D74323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142" w:type="dxa"/>
            <w:vMerge w:val="continue"/>
            <w:vAlign w:val="center"/>
          </w:tcPr>
          <w:p w14:paraId="7E0F16B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492" w:type="dxa"/>
            <w:vMerge w:val="continue"/>
            <w:vAlign w:val="center"/>
          </w:tcPr>
          <w:p w14:paraId="2BCC69D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0728E9DB">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快捷出库：各个药房通过扫描发票二维码获取预入库信息，药库复核完成后生成正式入库记录并更新库存，同时将对应药品信息快捷出库到相应的扫码验收药房，实现数据的一体化管理。</w:t>
            </w:r>
          </w:p>
        </w:tc>
        <w:tc>
          <w:tcPr>
            <w:tcW w:w="1284" w:type="dxa"/>
            <w:vMerge w:val="continue"/>
            <w:vAlign w:val="center"/>
          </w:tcPr>
          <w:p w14:paraId="5FB7022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r>
      <w:tr w14:paraId="7645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804" w:type="dxa"/>
            <w:vMerge w:val="continue"/>
            <w:vAlign w:val="center"/>
          </w:tcPr>
          <w:p w14:paraId="5C35EC5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142" w:type="dxa"/>
            <w:vMerge w:val="continue"/>
            <w:vAlign w:val="center"/>
          </w:tcPr>
          <w:p w14:paraId="3079AAD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492" w:type="dxa"/>
            <w:vMerge w:val="continue"/>
            <w:vAlign w:val="center"/>
          </w:tcPr>
          <w:p w14:paraId="609C4FAE">
            <w:pPr>
              <w:keepNext w:val="0"/>
              <w:keepLines w:val="0"/>
              <w:pageBreakBefore w:val="0"/>
              <w:widowControl w:val="0"/>
              <w:kinsoku/>
              <w:overflowPunct/>
              <w:topLinePunct w:val="0"/>
              <w:autoSpaceDE/>
              <w:autoSpaceDN/>
              <w:bidi w:val="0"/>
              <w:adjustRightInd/>
              <w:snapToGrid/>
              <w:spacing w:after="0" w:line="360" w:lineRule="auto"/>
              <w:ind w:firstLine="0" w:firstLineChars="0"/>
              <w:jc w:val="both"/>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649AE881">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智能预警提示：</w:t>
            </w:r>
          </w:p>
          <w:p w14:paraId="64FF8040">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①采购计划提交时，支持省招采平台药品发生价格变动或配送关系变更的信息提醒功能。②扫码入库信息验收过程中，支持药品有效期、批准文号等异常信息预警功能</w:t>
            </w:r>
            <w:r>
              <w:rPr>
                <w:rFonts w:hint="eastAsia" w:asciiTheme="minorEastAsia" w:hAnsiTheme="minorEastAsia" w:eastAsiaTheme="minorEastAsia" w:cstheme="minorEastAsia"/>
                <w:b w:val="0"/>
                <w:bCs w:val="0"/>
                <w:kern w:val="0"/>
                <w:sz w:val="24"/>
                <w:szCs w:val="24"/>
                <w:lang w:eastAsia="zh-CN"/>
                <w14:ligatures w14:val="none"/>
              </w:rPr>
              <w:t>。</w:t>
            </w:r>
          </w:p>
        </w:tc>
        <w:tc>
          <w:tcPr>
            <w:tcW w:w="1284" w:type="dxa"/>
            <w:vMerge w:val="continue"/>
            <w:vAlign w:val="center"/>
          </w:tcPr>
          <w:p w14:paraId="2E12CE7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r>
      <w:tr w14:paraId="3A39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04" w:type="dxa"/>
            <w:vMerge w:val="continue"/>
            <w:vAlign w:val="center"/>
          </w:tcPr>
          <w:p w14:paraId="054F22A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142" w:type="dxa"/>
            <w:vMerge w:val="continue"/>
            <w:vAlign w:val="center"/>
          </w:tcPr>
          <w:p w14:paraId="4FFCB31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c>
          <w:tcPr>
            <w:tcW w:w="1492" w:type="dxa"/>
            <w:vMerge w:val="continue"/>
            <w:vAlign w:val="center"/>
          </w:tcPr>
          <w:p w14:paraId="223B5FD3">
            <w:pPr>
              <w:keepNext w:val="0"/>
              <w:keepLines w:val="0"/>
              <w:pageBreakBefore w:val="0"/>
              <w:widowControl w:val="0"/>
              <w:kinsoku/>
              <w:overflowPunct/>
              <w:topLinePunct w:val="0"/>
              <w:autoSpaceDE/>
              <w:autoSpaceDN/>
              <w:bidi w:val="0"/>
              <w:adjustRightInd/>
              <w:snapToGrid/>
              <w:spacing w:after="0" w:line="360" w:lineRule="auto"/>
              <w:ind w:firstLine="0" w:firstLineChars="0"/>
              <w:jc w:val="both"/>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73E78CCB">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药库退药：通过扫码核销医院追溯码信息库内对应药品追溯码，并同步到医保信息采集系统，从而实现整箱药品、中包装药品、单盒药品的扫码退药追溯。</w:t>
            </w:r>
          </w:p>
        </w:tc>
        <w:tc>
          <w:tcPr>
            <w:tcW w:w="1284" w:type="dxa"/>
            <w:vMerge w:val="continue"/>
            <w:vAlign w:val="center"/>
          </w:tcPr>
          <w:p w14:paraId="434E75F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sz w:val="24"/>
                <w:szCs w:val="24"/>
                <w14:ligatures w14:val="none"/>
              </w:rPr>
            </w:pPr>
          </w:p>
        </w:tc>
      </w:tr>
      <w:tr w14:paraId="4599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804" w:type="dxa"/>
            <w:vMerge w:val="continue"/>
            <w:vAlign w:val="center"/>
          </w:tcPr>
          <w:p w14:paraId="52A5BEF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93BE2F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restart"/>
            <w:vAlign w:val="center"/>
          </w:tcPr>
          <w:p w14:paraId="654A785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r>
              <w:rPr>
                <w:rFonts w:hint="eastAsia" w:asciiTheme="minorEastAsia" w:hAnsiTheme="minorEastAsia" w:eastAsiaTheme="minorEastAsia" w:cstheme="minorEastAsia"/>
                <w:b w:val="0"/>
                <w:bCs w:val="0"/>
                <w:sz w:val="24"/>
                <w:szCs w:val="24"/>
                <w:highlight w:val="none"/>
                <w14:ligatures w14:val="none"/>
              </w:rPr>
              <w:t>门、急诊药房功能</w:t>
            </w:r>
          </w:p>
        </w:tc>
        <w:tc>
          <w:tcPr>
            <w:tcW w:w="4578" w:type="dxa"/>
            <w:vAlign w:val="center"/>
          </w:tcPr>
          <w:p w14:paraId="0ADDDFEF">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highlight w:val="none"/>
                <w:lang w:val="en-US" w:eastAsia="zh-CN"/>
                <w14:ligatures w14:val="none"/>
              </w:rPr>
            </w:pPr>
            <w:r>
              <w:rPr>
                <w:rFonts w:hint="eastAsia" w:asciiTheme="minorEastAsia" w:hAnsiTheme="minorEastAsia" w:eastAsiaTheme="minorEastAsia" w:cstheme="minorEastAsia"/>
                <w:b w:val="0"/>
                <w:bCs w:val="0"/>
                <w:kern w:val="0"/>
                <w:sz w:val="24"/>
                <w:szCs w:val="24"/>
                <w:highlight w:val="none"/>
                <w14:ligatures w14:val="none"/>
              </w:rPr>
              <w:t>整盒发药：支持门诊药房多品种、多数量批量扫码发药，系统设备可以将患者处方信息与扫描到的追溯码信息进行绑定和核对，当追溯码信息有误或完全正确时，可语音播报提示药师，有误时能弹窗提示，完成药品与处方的二次核对</w:t>
            </w:r>
            <w:r>
              <w:rPr>
                <w:rFonts w:hint="eastAsia" w:asciiTheme="minorEastAsia" w:hAnsiTheme="minorEastAsia" w:eastAsiaTheme="minorEastAsia" w:cstheme="minorEastAsia"/>
                <w:b w:val="0"/>
                <w:bCs w:val="0"/>
                <w:kern w:val="0"/>
                <w:sz w:val="24"/>
                <w:szCs w:val="24"/>
                <w:highlight w:val="none"/>
                <w:lang w:eastAsia="zh-CN"/>
                <w14:ligatures w14:val="none"/>
              </w:rPr>
              <w:t>，采集</w:t>
            </w:r>
            <w:r>
              <w:rPr>
                <w:rFonts w:hint="eastAsia" w:asciiTheme="minorEastAsia" w:hAnsiTheme="minorEastAsia" w:eastAsiaTheme="minorEastAsia" w:cstheme="minorEastAsia"/>
                <w:b w:val="0"/>
                <w:bCs w:val="0"/>
                <w:kern w:val="0"/>
                <w:sz w:val="24"/>
                <w:szCs w:val="24"/>
                <w:highlight w:val="none"/>
                <w:lang w:val="en-US" w:eastAsia="zh-CN"/>
                <w14:ligatures w14:val="none"/>
              </w:rPr>
              <w:t>完成的追溯码信息自动</w:t>
            </w:r>
            <w:r>
              <w:rPr>
                <w:rFonts w:hint="eastAsia" w:asciiTheme="minorEastAsia" w:hAnsiTheme="minorEastAsia" w:eastAsiaTheme="minorEastAsia" w:cstheme="minorEastAsia"/>
                <w:b w:val="0"/>
                <w:bCs w:val="0"/>
                <w:kern w:val="0"/>
                <w:sz w:val="24"/>
                <w:szCs w:val="24"/>
                <w:highlight w:val="none"/>
                <w:lang w:eastAsia="zh-CN"/>
                <w14:ligatures w14:val="none"/>
              </w:rPr>
              <w:t>推送给his</w:t>
            </w:r>
            <w:r>
              <w:rPr>
                <w:rFonts w:hint="eastAsia" w:asciiTheme="minorEastAsia" w:hAnsiTheme="minorEastAsia" w:eastAsiaTheme="minorEastAsia" w:cstheme="minorEastAsia"/>
                <w:b w:val="0"/>
                <w:bCs w:val="0"/>
                <w:kern w:val="0"/>
                <w:sz w:val="24"/>
                <w:szCs w:val="24"/>
                <w:highlight w:val="none"/>
                <w14:ligatures w14:val="none"/>
              </w:rPr>
              <w:t>。</w:t>
            </w:r>
          </w:p>
        </w:tc>
        <w:tc>
          <w:tcPr>
            <w:tcW w:w="1284" w:type="dxa"/>
            <w:vMerge w:val="continue"/>
            <w:vAlign w:val="center"/>
          </w:tcPr>
          <w:p w14:paraId="09F619C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3A64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7B77C06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D3F347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21340B4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lang w:val="en-US" w:eastAsia="zh-CN"/>
                <w14:ligatures w14:val="none"/>
              </w:rPr>
            </w:pPr>
          </w:p>
        </w:tc>
        <w:tc>
          <w:tcPr>
            <w:tcW w:w="4578" w:type="dxa"/>
            <w:vAlign w:val="center"/>
          </w:tcPr>
          <w:p w14:paraId="620E4336">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highlight w:val="none"/>
                <w:lang w:val="en-US" w:eastAsia="zh-CN"/>
                <w14:ligatures w14:val="none"/>
              </w:rPr>
            </w:pPr>
            <w:r>
              <w:rPr>
                <w:rFonts w:hint="eastAsia" w:asciiTheme="minorEastAsia" w:hAnsiTheme="minorEastAsia" w:eastAsiaTheme="minorEastAsia" w:cstheme="minorEastAsia"/>
                <w:b w:val="0"/>
                <w:bCs w:val="0"/>
                <w:kern w:val="0"/>
                <w:sz w:val="24"/>
                <w:szCs w:val="24"/>
                <w:highlight w:val="none"/>
                <w14:ligatures w14:val="none"/>
              </w:rPr>
              <w:t>★拆零发药：支持门、急诊拆零药品扫码发药，可以提前将自动判定拆零药品，并在一定数量药品发放时自动匹配的溯码，在发药或配药显示为已赋码</w:t>
            </w:r>
            <w:r>
              <w:rPr>
                <w:rFonts w:hint="eastAsia" w:asciiTheme="minorEastAsia" w:hAnsiTheme="minorEastAsia" w:eastAsiaTheme="minorEastAsia" w:cstheme="minorEastAsia"/>
                <w:b w:val="0"/>
                <w:bCs w:val="0"/>
                <w:kern w:val="0"/>
                <w:sz w:val="24"/>
                <w:szCs w:val="24"/>
                <w:highlight w:val="none"/>
                <w:lang w:eastAsia="zh-CN"/>
                <w14:ligatures w14:val="none"/>
              </w:rPr>
              <w:t>，采集</w:t>
            </w:r>
            <w:r>
              <w:rPr>
                <w:rFonts w:hint="eastAsia" w:asciiTheme="minorEastAsia" w:hAnsiTheme="minorEastAsia" w:eastAsiaTheme="minorEastAsia" w:cstheme="minorEastAsia"/>
                <w:b w:val="0"/>
                <w:bCs w:val="0"/>
                <w:kern w:val="0"/>
                <w:sz w:val="24"/>
                <w:szCs w:val="24"/>
                <w:highlight w:val="none"/>
                <w:lang w:val="en-US" w:eastAsia="zh-CN"/>
                <w14:ligatures w14:val="none"/>
              </w:rPr>
              <w:t>完成的追溯码信息自动</w:t>
            </w:r>
            <w:r>
              <w:rPr>
                <w:rFonts w:hint="eastAsia" w:asciiTheme="minorEastAsia" w:hAnsiTheme="minorEastAsia" w:eastAsiaTheme="minorEastAsia" w:cstheme="minorEastAsia"/>
                <w:b w:val="0"/>
                <w:bCs w:val="0"/>
                <w:kern w:val="0"/>
                <w:sz w:val="24"/>
                <w:szCs w:val="24"/>
                <w:highlight w:val="none"/>
                <w:lang w:eastAsia="zh-CN"/>
                <w14:ligatures w14:val="none"/>
              </w:rPr>
              <w:t>推送给his。</w:t>
            </w:r>
            <w:r>
              <w:rPr>
                <w:rFonts w:hint="eastAsia" w:asciiTheme="minorEastAsia" w:hAnsiTheme="minorEastAsia" w:eastAsiaTheme="minorEastAsia" w:cstheme="minorEastAsia"/>
                <w:b w:val="0"/>
                <w:bCs w:val="0"/>
                <w:kern w:val="0"/>
                <w:sz w:val="24"/>
                <w:szCs w:val="24"/>
                <w:highlight w:val="none"/>
                <w14:ligatures w14:val="none"/>
              </w:rPr>
              <w:t>[响应文件中提供官网功能截图、软件截图、功能界面截图(提供其中之一即可)，并加盖供应商公章或电子签章]。</w:t>
            </w:r>
          </w:p>
        </w:tc>
        <w:tc>
          <w:tcPr>
            <w:tcW w:w="1284" w:type="dxa"/>
            <w:vMerge w:val="continue"/>
            <w:vAlign w:val="center"/>
          </w:tcPr>
          <w:p w14:paraId="630EAA4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670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5716CBA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39546C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28FE015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616427A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14:ligatures w14:val="none"/>
              </w:rPr>
            </w:pPr>
            <w:r>
              <w:rPr>
                <w:rFonts w:hint="eastAsia" w:asciiTheme="minorEastAsia" w:hAnsiTheme="minorEastAsia" w:eastAsiaTheme="minorEastAsia" w:cstheme="minorEastAsia"/>
                <w:b w:val="0"/>
                <w:bCs w:val="0"/>
                <w:kern w:val="0"/>
                <w:sz w:val="24"/>
                <w:szCs w:val="24"/>
                <w14:ligatures w14:val="none"/>
              </w:rPr>
              <w:t>★退药：支持门、急诊药品退药扫码；支持退药追溯核查药品是否由医院发出以及有效期、批准文号等异常信息预警，智能核对退药数量、名称等退药信息[响应文件中提供官网功能截图、软件截图、功能界面截图(提供其中之一即可)，并加盖供应商公章或电子签章]。</w:t>
            </w:r>
          </w:p>
        </w:tc>
        <w:tc>
          <w:tcPr>
            <w:tcW w:w="1284" w:type="dxa"/>
            <w:vMerge w:val="continue"/>
            <w:vAlign w:val="center"/>
          </w:tcPr>
          <w:p w14:paraId="34B7D46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79A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804" w:type="dxa"/>
            <w:vMerge w:val="continue"/>
            <w:vAlign w:val="center"/>
          </w:tcPr>
          <w:p w14:paraId="36EEECA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70E2E7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19C15B4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128D00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未发药解码：支持患者未取药时整框药品快捷退药；支持患者部分取药时(如医师修改处方，但原处方药已全部扫码)已扫码药品的追溯码撤回[响应文件中提供官网功能截图、软件截图、功能界面截图(提供其中之一即可)，并加盖供应商公章或电子签章]。</w:t>
            </w:r>
          </w:p>
        </w:tc>
        <w:tc>
          <w:tcPr>
            <w:tcW w:w="1284" w:type="dxa"/>
            <w:vMerge w:val="continue"/>
            <w:vAlign w:val="center"/>
          </w:tcPr>
          <w:p w14:paraId="3E4AE15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C5F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804" w:type="dxa"/>
            <w:vMerge w:val="continue"/>
            <w:vAlign w:val="center"/>
          </w:tcPr>
          <w:p w14:paraId="3B29B4A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71188D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1A90397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313E3DB7">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麻精药品管理：支持麻精药品拆零扫码发药。精麻药品院内电子台账管理，用PDA对精麻药品在院内的出入库按追溯码进行最小单位的详细的扫码出入库采集登记和追溯码库存管理，自动建立精麻药品院内电子台账。</w:t>
            </w:r>
          </w:p>
        </w:tc>
        <w:tc>
          <w:tcPr>
            <w:tcW w:w="1284" w:type="dxa"/>
            <w:vMerge w:val="continue"/>
            <w:vAlign w:val="center"/>
          </w:tcPr>
          <w:p w14:paraId="6B9295B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A74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804" w:type="dxa"/>
            <w:vMerge w:val="continue"/>
            <w:vAlign w:val="center"/>
          </w:tcPr>
          <w:p w14:paraId="7419301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C17FB8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36F1B7D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745E845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智能预警提示：支持拿错药、多拿药、少拿药、过期药、重复发药、条码异常、追溯码异常等情况进行预警弹框提示，支持药品有效期、批准文号等异常信息预警，有语音播报功能。</w:t>
            </w:r>
          </w:p>
        </w:tc>
        <w:tc>
          <w:tcPr>
            <w:tcW w:w="1284" w:type="dxa"/>
            <w:vMerge w:val="continue"/>
            <w:vAlign w:val="center"/>
          </w:tcPr>
          <w:p w14:paraId="211C4E3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2C8D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804" w:type="dxa"/>
            <w:vMerge w:val="continue"/>
            <w:vAlign w:val="center"/>
          </w:tcPr>
          <w:p w14:paraId="313C3D0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08F9DB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276F57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3A01F032">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★报损：支持门、急诊药房扫码对药房药品进行报损[响应文件中提供官网功能截图、软件截图、功能界面截图(提供其中之一即可)，并加盖供应商公章或电子签章]。</w:t>
            </w:r>
          </w:p>
        </w:tc>
        <w:tc>
          <w:tcPr>
            <w:tcW w:w="1284" w:type="dxa"/>
            <w:vMerge w:val="continue"/>
            <w:vAlign w:val="center"/>
          </w:tcPr>
          <w:p w14:paraId="0A6CD1B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694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04" w:type="dxa"/>
            <w:vMerge w:val="continue"/>
            <w:vAlign w:val="center"/>
          </w:tcPr>
          <w:p w14:paraId="5EE5C92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D2ECCD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27BCEEC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772560D0">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医技科室扫码：支持医技科室操作员使用PDA对药品进行扫码赋码</w:t>
            </w:r>
          </w:p>
        </w:tc>
        <w:tc>
          <w:tcPr>
            <w:tcW w:w="1284" w:type="dxa"/>
            <w:vMerge w:val="continue"/>
            <w:vAlign w:val="center"/>
          </w:tcPr>
          <w:p w14:paraId="45B0DD9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191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804" w:type="dxa"/>
            <w:vMerge w:val="continue"/>
            <w:vAlign w:val="center"/>
          </w:tcPr>
          <w:p w14:paraId="36DE3FB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E63FB6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784CA6D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C3751B0">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特殊场景用药追溯码管理：对医院外借用药、互联网医院外配用药、义诊用药、抽检用药、急救用药等出库发放和退回闭环追溯码采集管理。</w:t>
            </w:r>
          </w:p>
        </w:tc>
        <w:tc>
          <w:tcPr>
            <w:tcW w:w="1284" w:type="dxa"/>
            <w:vMerge w:val="continue"/>
            <w:vAlign w:val="center"/>
          </w:tcPr>
          <w:p w14:paraId="6E0EDE6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2DE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04" w:type="dxa"/>
            <w:vMerge w:val="continue"/>
            <w:vAlign w:val="center"/>
          </w:tcPr>
          <w:p w14:paraId="51E7D07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DC267C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restart"/>
            <w:vAlign w:val="center"/>
          </w:tcPr>
          <w:p w14:paraId="1CA4ECD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r>
              <w:rPr>
                <w:rFonts w:hint="eastAsia" w:asciiTheme="minorEastAsia" w:hAnsiTheme="minorEastAsia" w:eastAsiaTheme="minorEastAsia" w:cstheme="minorEastAsia"/>
                <w:b w:val="0"/>
                <w:bCs w:val="0"/>
                <w:sz w:val="24"/>
                <w:szCs w:val="24"/>
                <w:highlight w:val="none"/>
                <w14:ligatures w14:val="none"/>
              </w:rPr>
              <w:t>中心药房功能</w:t>
            </w:r>
          </w:p>
        </w:tc>
        <w:tc>
          <w:tcPr>
            <w:tcW w:w="4578" w:type="dxa"/>
            <w:vAlign w:val="center"/>
          </w:tcPr>
          <w:p w14:paraId="2290693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highlight w:val="none"/>
                <w14:ligatures w14:val="none"/>
              </w:rPr>
            </w:pPr>
            <w:r>
              <w:rPr>
                <w:rFonts w:hint="eastAsia" w:asciiTheme="minorEastAsia" w:hAnsiTheme="minorEastAsia" w:eastAsiaTheme="minorEastAsia" w:cstheme="minorEastAsia"/>
                <w:b w:val="0"/>
                <w:bCs w:val="0"/>
                <w:kern w:val="0"/>
                <w:sz w:val="24"/>
                <w:szCs w:val="24"/>
                <w:highlight w:val="none"/>
                <w14:ligatures w14:val="none"/>
              </w:rPr>
              <w:t>★整盒发药：支持住院药房批量扫码发药(功能同门诊药房)，支持护士使用移动护理PDA扫码执行医嘱时同时赋码</w:t>
            </w:r>
            <w:r>
              <w:rPr>
                <w:rFonts w:hint="eastAsia" w:asciiTheme="minorEastAsia" w:hAnsiTheme="minorEastAsia" w:eastAsiaTheme="minorEastAsia" w:cstheme="minorEastAsia"/>
                <w:b w:val="0"/>
                <w:bCs w:val="0"/>
                <w:kern w:val="0"/>
                <w:sz w:val="24"/>
                <w:szCs w:val="24"/>
                <w:highlight w:val="none"/>
                <w:lang w:eastAsia="zh-CN"/>
                <w14:ligatures w14:val="none"/>
              </w:rPr>
              <w:t>，</w:t>
            </w:r>
            <w:r>
              <w:rPr>
                <w:rFonts w:hint="eastAsia" w:asciiTheme="minorEastAsia" w:hAnsiTheme="minorEastAsia" w:eastAsiaTheme="minorEastAsia" w:cstheme="minorEastAsia"/>
                <w:b w:val="0"/>
                <w:bCs w:val="0"/>
                <w:kern w:val="0"/>
                <w:sz w:val="24"/>
                <w:szCs w:val="24"/>
                <w:highlight w:val="none"/>
                <w:lang w:val="en-US" w:eastAsia="zh-CN"/>
                <w14:ligatures w14:val="none"/>
              </w:rPr>
              <w:t>此功能</w:t>
            </w:r>
            <w:r>
              <w:rPr>
                <w:rFonts w:hint="eastAsia" w:asciiTheme="minorEastAsia" w:hAnsiTheme="minorEastAsia" w:eastAsiaTheme="minorEastAsia" w:cstheme="minorEastAsia"/>
                <w:b w:val="0"/>
                <w:bCs w:val="0"/>
                <w:kern w:val="0"/>
                <w:sz w:val="24"/>
                <w:szCs w:val="24"/>
                <w:highlight w:val="none"/>
                <w14:ligatures w14:val="none"/>
              </w:rPr>
              <w:t>支持出院带药和在院用药</w:t>
            </w:r>
            <w:r>
              <w:rPr>
                <w:rFonts w:hint="eastAsia" w:asciiTheme="minorEastAsia" w:hAnsiTheme="minorEastAsia" w:eastAsiaTheme="minorEastAsia" w:cstheme="minorEastAsia"/>
                <w:b w:val="0"/>
                <w:bCs w:val="0"/>
                <w:kern w:val="0"/>
                <w:sz w:val="24"/>
                <w:szCs w:val="24"/>
                <w:highlight w:val="none"/>
                <w:lang w:eastAsia="zh-CN"/>
                <w14:ligatures w14:val="none"/>
              </w:rPr>
              <w:t>，采集</w:t>
            </w:r>
            <w:r>
              <w:rPr>
                <w:rFonts w:hint="eastAsia" w:asciiTheme="minorEastAsia" w:hAnsiTheme="minorEastAsia" w:eastAsiaTheme="minorEastAsia" w:cstheme="minorEastAsia"/>
                <w:b w:val="0"/>
                <w:bCs w:val="0"/>
                <w:kern w:val="0"/>
                <w:sz w:val="24"/>
                <w:szCs w:val="24"/>
                <w:highlight w:val="none"/>
                <w:lang w:val="en-US" w:eastAsia="zh-CN"/>
                <w14:ligatures w14:val="none"/>
              </w:rPr>
              <w:t>完成的追溯码信息自动</w:t>
            </w:r>
            <w:r>
              <w:rPr>
                <w:rFonts w:hint="eastAsia" w:asciiTheme="minorEastAsia" w:hAnsiTheme="minorEastAsia" w:eastAsiaTheme="minorEastAsia" w:cstheme="minorEastAsia"/>
                <w:b w:val="0"/>
                <w:bCs w:val="0"/>
                <w:kern w:val="0"/>
                <w:sz w:val="24"/>
                <w:szCs w:val="24"/>
                <w:highlight w:val="none"/>
                <w:lang w:eastAsia="zh-CN"/>
                <w14:ligatures w14:val="none"/>
              </w:rPr>
              <w:t>推送给his</w:t>
            </w:r>
            <w:r>
              <w:rPr>
                <w:rFonts w:hint="eastAsia" w:asciiTheme="minorEastAsia" w:hAnsiTheme="minorEastAsia" w:eastAsiaTheme="minorEastAsia" w:cstheme="minorEastAsia"/>
                <w:b w:val="0"/>
                <w:bCs w:val="0"/>
                <w:kern w:val="0"/>
                <w:sz w:val="24"/>
                <w:szCs w:val="24"/>
                <w:highlight w:val="none"/>
                <w14:ligatures w14:val="none"/>
              </w:rPr>
              <w:t>。</w:t>
            </w:r>
            <w:r>
              <w:rPr>
                <w:rFonts w:hint="eastAsia" w:asciiTheme="minorEastAsia" w:hAnsiTheme="minorEastAsia" w:eastAsiaTheme="minorEastAsia" w:cstheme="minorEastAsia"/>
                <w:b w:val="0"/>
                <w:bCs w:val="0"/>
                <w:kern w:val="0"/>
                <w:sz w:val="24"/>
                <w:szCs w:val="24"/>
                <w14:ligatures w14:val="none"/>
              </w:rPr>
              <w:t>[响应文件中提供官网功能截图、软件截图、功能界面截图(提供其中之一即可)，并加盖供应商公章或电子签章]。</w:t>
            </w:r>
          </w:p>
        </w:tc>
        <w:tc>
          <w:tcPr>
            <w:tcW w:w="1284" w:type="dxa"/>
            <w:vMerge w:val="continue"/>
            <w:vAlign w:val="center"/>
          </w:tcPr>
          <w:p w14:paraId="498B0EE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6EE4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804" w:type="dxa"/>
            <w:vMerge w:val="continue"/>
            <w:vAlign w:val="center"/>
          </w:tcPr>
          <w:p w14:paraId="6B9ADAB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31AA65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5D5D2E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6848748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highlight w:val="none"/>
                <w14:ligatures w14:val="none"/>
              </w:rPr>
            </w:pPr>
            <w:r>
              <w:rPr>
                <w:rFonts w:hint="eastAsia" w:asciiTheme="minorEastAsia" w:hAnsiTheme="minorEastAsia" w:eastAsiaTheme="minorEastAsia" w:cstheme="minorEastAsia"/>
                <w:b w:val="0"/>
                <w:bCs w:val="0"/>
                <w:kern w:val="0"/>
                <w:sz w:val="24"/>
                <w:szCs w:val="24"/>
                <w:highlight w:val="none"/>
                <w14:ligatures w14:val="none"/>
              </w:rPr>
              <w:t>★拆零发药：中心药房拆零业务分为拆零分包机发药(单剂量包药)、拆零分包机预包药(门诊包药),需要通过将“盒码”拆解成“小码”,实现拆零功能，并记录在“台账”中，原则上“先进先出”,折算药品“小码”消耗，自动扣减台账并进行数据采集</w:t>
            </w:r>
            <w:r>
              <w:rPr>
                <w:rFonts w:hint="eastAsia" w:asciiTheme="minorEastAsia" w:hAnsiTheme="minorEastAsia" w:eastAsiaTheme="minorEastAsia" w:cstheme="minorEastAsia"/>
                <w:b w:val="0"/>
                <w:bCs w:val="0"/>
                <w:kern w:val="0"/>
                <w:sz w:val="24"/>
                <w:szCs w:val="24"/>
                <w:highlight w:val="none"/>
                <w:lang w:eastAsia="zh-CN"/>
                <w14:ligatures w14:val="none"/>
              </w:rPr>
              <w:t>，采集</w:t>
            </w:r>
            <w:r>
              <w:rPr>
                <w:rFonts w:hint="eastAsia" w:asciiTheme="minorEastAsia" w:hAnsiTheme="minorEastAsia" w:eastAsiaTheme="minorEastAsia" w:cstheme="minorEastAsia"/>
                <w:b w:val="0"/>
                <w:bCs w:val="0"/>
                <w:kern w:val="0"/>
                <w:sz w:val="24"/>
                <w:szCs w:val="24"/>
                <w:highlight w:val="none"/>
                <w:lang w:val="en-US" w:eastAsia="zh-CN"/>
                <w14:ligatures w14:val="none"/>
              </w:rPr>
              <w:t>完成的追溯码信息自动</w:t>
            </w:r>
            <w:r>
              <w:rPr>
                <w:rFonts w:hint="eastAsia" w:asciiTheme="minorEastAsia" w:hAnsiTheme="minorEastAsia" w:eastAsiaTheme="minorEastAsia" w:cstheme="minorEastAsia"/>
                <w:b w:val="0"/>
                <w:bCs w:val="0"/>
                <w:kern w:val="0"/>
                <w:sz w:val="24"/>
                <w:szCs w:val="24"/>
                <w:highlight w:val="none"/>
                <w:lang w:eastAsia="zh-CN"/>
                <w14:ligatures w14:val="none"/>
              </w:rPr>
              <w:t>推送给his。</w:t>
            </w:r>
            <w:r>
              <w:rPr>
                <w:rFonts w:hint="eastAsia" w:asciiTheme="minorEastAsia" w:hAnsiTheme="minorEastAsia" w:eastAsiaTheme="minorEastAsia" w:cstheme="minorEastAsia"/>
                <w:b w:val="0"/>
                <w:bCs w:val="0"/>
                <w:kern w:val="0"/>
                <w:sz w:val="24"/>
                <w:szCs w:val="24"/>
                <w:highlight w:val="none"/>
                <w14:ligatures w14:val="none"/>
              </w:rPr>
              <w:t>[响应文件中提供官网功能截图、软件截图、功能界面截图(提供其中之一即可)，并加盖供应商公章或电子签章]。</w:t>
            </w:r>
          </w:p>
        </w:tc>
        <w:tc>
          <w:tcPr>
            <w:tcW w:w="1284" w:type="dxa"/>
            <w:vMerge w:val="continue"/>
            <w:vAlign w:val="center"/>
          </w:tcPr>
          <w:p w14:paraId="44A6594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35A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04" w:type="dxa"/>
            <w:vMerge w:val="continue"/>
            <w:vAlign w:val="center"/>
          </w:tcPr>
          <w:p w14:paraId="501C33D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8B0210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358C230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22189DDC">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住院退药：支持住院药品退药扫码：支持退药追溯核查药品是否由医院发出以及有效期、批准文号等异常信息预警。</w:t>
            </w:r>
          </w:p>
        </w:tc>
        <w:tc>
          <w:tcPr>
            <w:tcW w:w="1284" w:type="dxa"/>
            <w:vMerge w:val="continue"/>
            <w:vAlign w:val="center"/>
          </w:tcPr>
          <w:p w14:paraId="103B318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6A7B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804" w:type="dxa"/>
            <w:vMerge w:val="continue"/>
            <w:vAlign w:val="center"/>
          </w:tcPr>
          <w:p w14:paraId="2B20304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C49B2B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7035457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0B35891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未发药解码：支持患者未取药时整框药品快捷退药；支持患者部分取药时(如医师修改处方，但原处方药已全部扫码)已扫码药品的追溯码撤回。</w:t>
            </w:r>
          </w:p>
        </w:tc>
        <w:tc>
          <w:tcPr>
            <w:tcW w:w="1284" w:type="dxa"/>
            <w:vMerge w:val="continue"/>
            <w:vAlign w:val="center"/>
          </w:tcPr>
          <w:p w14:paraId="23A0EBF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2558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804" w:type="dxa"/>
            <w:vMerge w:val="continue"/>
            <w:vAlign w:val="center"/>
          </w:tcPr>
          <w:p w14:paraId="630FE2E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053FB6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34BDD8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40B12C26">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静脉配置中心发药：可实现根据医保政策要求，通过拆零规则折算单支/瓶药品追溯码管理。护士执行医嘱时，支持通过移动护理PDA扫码，系统自动关联患者信息(HIS同步)、用药时间、剂量、执行人。</w:t>
            </w:r>
          </w:p>
        </w:tc>
        <w:tc>
          <w:tcPr>
            <w:tcW w:w="1284" w:type="dxa"/>
            <w:vMerge w:val="continue"/>
            <w:vAlign w:val="center"/>
          </w:tcPr>
          <w:p w14:paraId="64B6A51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0DD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04" w:type="dxa"/>
            <w:vMerge w:val="continue"/>
            <w:vAlign w:val="center"/>
          </w:tcPr>
          <w:p w14:paraId="64540E3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4EA249C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01B8442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20E84716">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★麻精药品管理：支持中心药房对手麻药房、病区配备基数的科室麻精药品拆零扫码管理[响应文件中提供官网功能截图、软件截图、功能界面截图(提供其中之一即可)，并加盖供应商公章或电子签章]。</w:t>
            </w:r>
          </w:p>
        </w:tc>
        <w:tc>
          <w:tcPr>
            <w:tcW w:w="1284" w:type="dxa"/>
            <w:vMerge w:val="continue"/>
            <w:vAlign w:val="center"/>
          </w:tcPr>
          <w:p w14:paraId="1639B61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6FF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804" w:type="dxa"/>
            <w:vMerge w:val="continue"/>
            <w:vAlign w:val="center"/>
          </w:tcPr>
          <w:p w14:paraId="3104BC6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6946ABC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5FB051A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34DEDF35">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智能预警提示：功能同门诊药房。</w:t>
            </w:r>
          </w:p>
        </w:tc>
        <w:tc>
          <w:tcPr>
            <w:tcW w:w="1284" w:type="dxa"/>
            <w:vMerge w:val="continue"/>
            <w:vAlign w:val="center"/>
          </w:tcPr>
          <w:p w14:paraId="02A1A0F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665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1B2280F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20FFB3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4A3059F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BF193C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eastAsia="zh-CN"/>
                <w14:ligatures w14:val="none"/>
              </w:rPr>
            </w:pPr>
            <w:r>
              <w:rPr>
                <w:rFonts w:hint="eastAsia" w:asciiTheme="minorEastAsia" w:hAnsiTheme="minorEastAsia" w:eastAsiaTheme="minorEastAsia" w:cstheme="minorEastAsia"/>
                <w:b w:val="0"/>
                <w:bCs w:val="0"/>
                <w:kern w:val="0"/>
                <w:sz w:val="24"/>
                <w:szCs w:val="24"/>
                <w14:ligatures w14:val="none"/>
              </w:rPr>
              <w:t>报损：支持中心药房扫码对药房药品进行报损</w:t>
            </w:r>
            <w:r>
              <w:rPr>
                <w:rFonts w:hint="eastAsia" w:asciiTheme="minorEastAsia" w:hAnsiTheme="minorEastAsia" w:eastAsiaTheme="minorEastAsia" w:cstheme="minorEastAsia"/>
                <w:b w:val="0"/>
                <w:bCs w:val="0"/>
                <w:kern w:val="0"/>
                <w:sz w:val="24"/>
                <w:szCs w:val="24"/>
                <w:lang w:eastAsia="zh-CN"/>
                <w14:ligatures w14:val="none"/>
              </w:rPr>
              <w:t>。</w:t>
            </w:r>
          </w:p>
        </w:tc>
        <w:tc>
          <w:tcPr>
            <w:tcW w:w="1284" w:type="dxa"/>
            <w:vMerge w:val="continue"/>
            <w:vAlign w:val="center"/>
          </w:tcPr>
          <w:p w14:paraId="7C829FB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8B6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04" w:type="dxa"/>
            <w:vMerge w:val="continue"/>
            <w:vAlign w:val="center"/>
          </w:tcPr>
          <w:p w14:paraId="03B8EA6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4C3961A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restart"/>
            <w:vAlign w:val="center"/>
          </w:tcPr>
          <w:p w14:paraId="338C6C3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r>
              <w:rPr>
                <w:rFonts w:hint="eastAsia" w:asciiTheme="minorEastAsia" w:hAnsiTheme="minorEastAsia" w:eastAsiaTheme="minorEastAsia" w:cstheme="minorEastAsia"/>
                <w:b w:val="0"/>
                <w:bCs w:val="0"/>
                <w:sz w:val="24"/>
                <w:szCs w:val="24"/>
                <w:highlight w:val="none"/>
                <w14:ligatures w14:val="none"/>
              </w:rPr>
              <w:t>管理端功能</w:t>
            </w:r>
          </w:p>
        </w:tc>
        <w:tc>
          <w:tcPr>
            <w:tcW w:w="4578" w:type="dxa"/>
            <w:vAlign w:val="center"/>
          </w:tcPr>
          <w:p w14:paraId="4FF54FC9">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查询功能：所有追溯码采集信息需存储在服务器上，并且可随时调取查阅。支持追溯码全流程、药品物流信息查询。</w:t>
            </w:r>
          </w:p>
        </w:tc>
        <w:tc>
          <w:tcPr>
            <w:tcW w:w="1284" w:type="dxa"/>
            <w:vMerge w:val="continue"/>
            <w:vAlign w:val="center"/>
          </w:tcPr>
          <w:p w14:paraId="4040BF3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45C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804" w:type="dxa"/>
            <w:vMerge w:val="continue"/>
            <w:vAlign w:val="center"/>
          </w:tcPr>
          <w:p w14:paraId="4FD5D0B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29DC4A5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2AE0A29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5E779336">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统计报表：支持对用户、药房、窗口等实体进行细致划分与管理。可汇总形成追溯码相关报表，如按部门生成发药量、消耗量、退药量、扫码/未扫码统计、扫码明细、追溯码采集率等业务数据。支持药师核发的患者数、处方数、药品数扫码盒数等数量统计。</w:t>
            </w:r>
          </w:p>
        </w:tc>
        <w:tc>
          <w:tcPr>
            <w:tcW w:w="1284" w:type="dxa"/>
            <w:vMerge w:val="continue"/>
            <w:vAlign w:val="center"/>
          </w:tcPr>
          <w:p w14:paraId="4584A09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63CF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04" w:type="dxa"/>
            <w:vMerge w:val="continue"/>
            <w:vAlign w:val="center"/>
          </w:tcPr>
          <w:p w14:paraId="2371B26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697F628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41D9A89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7B77FDDD">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数据维护：提供药品基础信息维护的界面，可以由药师自行维护基础数据，可以增加药品品种、删除药品品种、更新药品品种的基础数据，对已经维护数据可以进行数据管理查看等。可对上传不成功的追溯码有上传日志查询和再次提交到医保两定接口功能，确保已采集的数据再次更改后提交给医保局实现数据的校对和续传。</w:t>
            </w:r>
          </w:p>
        </w:tc>
        <w:tc>
          <w:tcPr>
            <w:tcW w:w="1284" w:type="dxa"/>
            <w:vMerge w:val="continue"/>
            <w:vAlign w:val="center"/>
          </w:tcPr>
          <w:p w14:paraId="6B1666F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23ED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804" w:type="dxa"/>
            <w:vMerge w:val="continue"/>
            <w:vAlign w:val="center"/>
          </w:tcPr>
          <w:p w14:paraId="3B45985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CE56E1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492" w:type="dxa"/>
            <w:vMerge w:val="continue"/>
            <w:vAlign w:val="center"/>
          </w:tcPr>
          <w:p w14:paraId="16F8AE9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b w:val="0"/>
                <w:bCs w:val="0"/>
                <w:sz w:val="24"/>
                <w:szCs w:val="24"/>
                <w14:ligatures w14:val="none"/>
              </w:rPr>
            </w:pPr>
          </w:p>
        </w:tc>
        <w:tc>
          <w:tcPr>
            <w:tcW w:w="4578" w:type="dxa"/>
            <w:vAlign w:val="center"/>
          </w:tcPr>
          <w:p w14:paraId="1AFD54D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spacing w:val="22"/>
                <w:sz w:val="24"/>
                <w:szCs w:val="24"/>
                <w:highlight w:val="none"/>
                <w14:ligatures w14:val="none"/>
              </w:rPr>
            </w:pPr>
            <w:r>
              <w:rPr>
                <w:rFonts w:hint="eastAsia" w:asciiTheme="minorEastAsia" w:hAnsiTheme="minorEastAsia" w:eastAsiaTheme="minorEastAsia" w:cstheme="minorEastAsia"/>
                <w:b w:val="0"/>
                <w:bCs w:val="0"/>
                <w:kern w:val="0"/>
                <w:sz w:val="24"/>
                <w:szCs w:val="24"/>
                <w14:ligatures w14:val="none"/>
              </w:rPr>
              <w:t>★无码药品管理：建立若药品无追溯码，支持在药品字典中新增无需追溯标识。若设置为无需追溯药品，则该药品即可支持无追溯码自动核发，并上传该药品无追溯码信息至医保系统，确保上传率不受影响[响应文件中提供官网功能截图、软件截图、功能界面截图(提供其中之一即可)，并加盖供应商公章或电子签章]。</w:t>
            </w:r>
          </w:p>
        </w:tc>
        <w:tc>
          <w:tcPr>
            <w:tcW w:w="1284" w:type="dxa"/>
            <w:vMerge w:val="continue"/>
            <w:vAlign w:val="center"/>
          </w:tcPr>
          <w:p w14:paraId="0D22EBD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772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restart"/>
            <w:vAlign w:val="center"/>
          </w:tcPr>
          <w:p w14:paraId="51E8860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2</w:t>
            </w:r>
          </w:p>
        </w:tc>
        <w:tc>
          <w:tcPr>
            <w:tcW w:w="1142" w:type="dxa"/>
            <w:vMerge w:val="restart"/>
            <w:vAlign w:val="center"/>
          </w:tcPr>
          <w:p w14:paraId="7DB4C57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PDA</w:t>
            </w:r>
          </w:p>
        </w:tc>
        <w:tc>
          <w:tcPr>
            <w:tcW w:w="6070" w:type="dxa"/>
            <w:gridSpan w:val="2"/>
            <w:shd w:val="clear" w:color="auto" w:fill="auto"/>
          </w:tcPr>
          <w:p w14:paraId="69D4C3FD">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处理器</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八核2.0GHz高性能处理器</w:t>
            </w:r>
          </w:p>
        </w:tc>
        <w:tc>
          <w:tcPr>
            <w:tcW w:w="1284" w:type="dxa"/>
            <w:vMerge w:val="restart"/>
            <w:vAlign w:val="center"/>
          </w:tcPr>
          <w:p w14:paraId="1BB27C6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highlight w:val="none"/>
                <w:lang w:val="en-US" w:eastAsia="zh-CN"/>
                <w14:ligatures w14:val="none"/>
              </w:rPr>
              <w:t>4台</w:t>
            </w:r>
          </w:p>
        </w:tc>
      </w:tr>
      <w:tr w14:paraId="62C0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786168F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E03066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0533C679">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snapToGrid/>
                <w:kern w:val="2"/>
                <w:sz w:val="24"/>
                <w:szCs w:val="24"/>
                <w:lang w:val="en-US" w:eastAsia="zh-CN"/>
                <w14:ligatures w14:val="none"/>
              </w:rPr>
              <w:t>内存：≥4GB，存储≥64GB</w:t>
            </w:r>
          </w:p>
        </w:tc>
        <w:tc>
          <w:tcPr>
            <w:tcW w:w="1284" w:type="dxa"/>
            <w:vMerge w:val="continue"/>
            <w:vAlign w:val="center"/>
          </w:tcPr>
          <w:p w14:paraId="67F2D0F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939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5151688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664E63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161119EE">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显示屏</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5.5英寸，分辨率</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1440*720</w:t>
            </w:r>
          </w:p>
        </w:tc>
        <w:tc>
          <w:tcPr>
            <w:tcW w:w="1284" w:type="dxa"/>
            <w:vMerge w:val="continue"/>
            <w:vAlign w:val="center"/>
          </w:tcPr>
          <w:p w14:paraId="17E28B4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9A9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04" w:type="dxa"/>
            <w:vMerge w:val="continue"/>
            <w:vAlign w:val="center"/>
          </w:tcPr>
          <w:p w14:paraId="0222BAD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43F87FF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F3151F1">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触摸屏</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工业级电容屏(支持</w:t>
            </w:r>
            <w:r>
              <w:rPr>
                <w:rFonts w:hint="eastAsia" w:asciiTheme="minorEastAsia" w:hAnsiTheme="minorEastAsia" w:eastAsiaTheme="minorEastAsia" w:cstheme="minorEastAsia"/>
                <w:b w:val="0"/>
                <w:bCs w:val="0"/>
                <w:kern w:val="0"/>
                <w:sz w:val="24"/>
                <w:szCs w:val="24"/>
                <w:lang w:val="en-US" w:eastAsia="zh-CN"/>
                <w14:ligatures w14:val="none"/>
              </w:rPr>
              <w:t>戴</w:t>
            </w:r>
            <w:r>
              <w:rPr>
                <w:rFonts w:hint="eastAsia" w:asciiTheme="minorEastAsia" w:hAnsiTheme="minorEastAsia" w:eastAsiaTheme="minorEastAsia" w:cstheme="minorEastAsia"/>
                <w:b w:val="0"/>
                <w:bCs w:val="0"/>
                <w:kern w:val="0"/>
                <w:sz w:val="24"/>
                <w:szCs w:val="24"/>
                <w14:ligatures w14:val="none"/>
              </w:rPr>
              <w:t>手套触摸，湿手操作)</w:t>
            </w:r>
          </w:p>
        </w:tc>
        <w:tc>
          <w:tcPr>
            <w:tcW w:w="1284" w:type="dxa"/>
            <w:vMerge w:val="continue"/>
            <w:vAlign w:val="center"/>
          </w:tcPr>
          <w:p w14:paraId="7F33537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05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4" w:type="dxa"/>
            <w:vMerge w:val="continue"/>
            <w:vAlign w:val="center"/>
          </w:tcPr>
          <w:p w14:paraId="7A9F2D5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E26D07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71141A25">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摄像头</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后置</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800万像素(可选1300万像素)，前置</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500万像素，支持PDAF</w:t>
            </w:r>
          </w:p>
        </w:tc>
        <w:tc>
          <w:tcPr>
            <w:tcW w:w="1284" w:type="dxa"/>
            <w:vMerge w:val="continue"/>
            <w:vAlign w:val="center"/>
          </w:tcPr>
          <w:p w14:paraId="4AF4FA6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176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495AF0E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348467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3F6BD42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电池</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snapToGrid/>
                <w:kern w:val="2"/>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5000mAh</w:t>
            </w:r>
          </w:p>
        </w:tc>
        <w:tc>
          <w:tcPr>
            <w:tcW w:w="1284" w:type="dxa"/>
            <w:vMerge w:val="continue"/>
            <w:vAlign w:val="center"/>
          </w:tcPr>
          <w:p w14:paraId="5356508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4B6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0E6D151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DC2E72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667877A">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highlight w:val="none"/>
                <w14:ligatures w14:val="none"/>
              </w:rPr>
              <w:t>充电方式</w:t>
            </w:r>
            <w:r>
              <w:rPr>
                <w:rFonts w:hint="eastAsia" w:asciiTheme="minorEastAsia" w:hAnsiTheme="minorEastAsia" w:eastAsiaTheme="minorEastAsia" w:cstheme="minorEastAsia"/>
                <w:b w:val="0"/>
                <w:bCs w:val="0"/>
                <w:kern w:val="0"/>
                <w:sz w:val="24"/>
                <w:szCs w:val="24"/>
                <w:highlight w:val="none"/>
                <w:lang w:val="en-US" w:eastAsia="zh-CN"/>
                <w14:ligatures w14:val="none"/>
              </w:rPr>
              <w:t>:</w:t>
            </w:r>
            <w:r>
              <w:rPr>
                <w:rFonts w:hint="eastAsia" w:asciiTheme="minorEastAsia" w:hAnsiTheme="minorEastAsia" w:eastAsiaTheme="minorEastAsia" w:cstheme="minorEastAsia"/>
                <w:b w:val="0"/>
                <w:bCs w:val="0"/>
                <w:kern w:val="0"/>
                <w:sz w:val="24"/>
                <w:szCs w:val="24"/>
                <w:highlight w:val="none"/>
                <w14:ligatures w14:val="none"/>
              </w:rPr>
              <w:t>Type-C</w:t>
            </w:r>
          </w:p>
        </w:tc>
        <w:tc>
          <w:tcPr>
            <w:tcW w:w="1284" w:type="dxa"/>
            <w:vMerge w:val="continue"/>
            <w:vAlign w:val="center"/>
          </w:tcPr>
          <w:p w14:paraId="6709B7B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9C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7C07CC5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8ED6B4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5CCCE42">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提示</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振动提示/LED提示/音频提示</w:t>
            </w:r>
          </w:p>
        </w:tc>
        <w:tc>
          <w:tcPr>
            <w:tcW w:w="1284" w:type="dxa"/>
            <w:vMerge w:val="continue"/>
            <w:vAlign w:val="center"/>
          </w:tcPr>
          <w:p w14:paraId="57E79C0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2E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2F691D5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318B86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7072EEAD">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指纹识别</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支持</w:t>
            </w:r>
          </w:p>
        </w:tc>
        <w:tc>
          <w:tcPr>
            <w:tcW w:w="1284" w:type="dxa"/>
            <w:vMerge w:val="continue"/>
            <w:vAlign w:val="center"/>
          </w:tcPr>
          <w:p w14:paraId="6EC15B6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381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7220D4F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AD08D7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0EAF638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snapToGrid/>
                <w:kern w:val="2"/>
                <w:sz w:val="24"/>
                <w:szCs w:val="24"/>
                <w:lang w:val="en-US" w:eastAsia="zh-CN"/>
                <w14:ligatures w14:val="none"/>
              </w:rPr>
              <w:t>条码识别：支持一维码和二维码。</w:t>
            </w:r>
          </w:p>
        </w:tc>
        <w:tc>
          <w:tcPr>
            <w:tcW w:w="1284" w:type="dxa"/>
            <w:vMerge w:val="continue"/>
            <w:vAlign w:val="center"/>
          </w:tcPr>
          <w:p w14:paraId="47D6BAE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3572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6FAF345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67A0757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9F20EA9">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snapToGrid/>
                <w:kern w:val="2"/>
                <w:sz w:val="24"/>
                <w:szCs w:val="24"/>
                <w:lang w:val="en-US" w:eastAsia="zh-CN"/>
                <w14:ligatures w14:val="none"/>
              </w:rPr>
            </w:pPr>
            <w:r>
              <w:rPr>
                <w:rFonts w:hint="eastAsia" w:asciiTheme="minorEastAsia" w:hAnsiTheme="minorEastAsia" w:eastAsiaTheme="minorEastAsia" w:cstheme="minorEastAsia"/>
                <w:b w:val="0"/>
                <w:bCs w:val="0"/>
                <w:kern w:val="0"/>
                <w:sz w:val="24"/>
                <w:szCs w:val="24"/>
                <w:highlight w:val="none"/>
                <w14:ligatures w14:val="none"/>
              </w:rPr>
              <w:t>震动马达</w:t>
            </w:r>
            <w:r>
              <w:rPr>
                <w:rFonts w:hint="eastAsia" w:asciiTheme="minorEastAsia" w:hAnsiTheme="minorEastAsia" w:eastAsiaTheme="minorEastAsia" w:cstheme="minorEastAsia"/>
                <w:b w:val="0"/>
                <w:bCs w:val="0"/>
                <w:kern w:val="0"/>
                <w:sz w:val="24"/>
                <w:szCs w:val="24"/>
                <w:highlight w:val="none"/>
                <w:lang w:eastAsia="zh-CN"/>
                <w14:ligatures w14:val="none"/>
              </w:rPr>
              <w:t>：</w:t>
            </w:r>
            <w:r>
              <w:rPr>
                <w:rFonts w:hint="eastAsia" w:asciiTheme="minorEastAsia" w:hAnsiTheme="minorEastAsia" w:eastAsiaTheme="minorEastAsia" w:cstheme="minorEastAsia"/>
                <w:b w:val="0"/>
                <w:bCs w:val="0"/>
                <w:kern w:val="0"/>
                <w:sz w:val="24"/>
                <w:szCs w:val="24"/>
                <w:highlight w:val="none"/>
                <w14:ligatures w14:val="none"/>
              </w:rPr>
              <w:t>内置震动马达</w:t>
            </w:r>
          </w:p>
        </w:tc>
        <w:tc>
          <w:tcPr>
            <w:tcW w:w="1284" w:type="dxa"/>
            <w:vMerge w:val="continue"/>
            <w:vAlign w:val="center"/>
          </w:tcPr>
          <w:p w14:paraId="35F3E2E7">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AC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25AFC10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76997ED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79F30E1E">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传感器</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G-SENSOR、接近传感器、光线传感器</w:t>
            </w:r>
          </w:p>
        </w:tc>
        <w:tc>
          <w:tcPr>
            <w:tcW w:w="1284" w:type="dxa"/>
            <w:vMerge w:val="continue"/>
            <w:vAlign w:val="center"/>
          </w:tcPr>
          <w:p w14:paraId="6354563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C4D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4" w:type="dxa"/>
            <w:vMerge w:val="restart"/>
            <w:vAlign w:val="center"/>
          </w:tcPr>
          <w:p w14:paraId="0D15FA3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3</w:t>
            </w:r>
          </w:p>
        </w:tc>
        <w:tc>
          <w:tcPr>
            <w:tcW w:w="1142" w:type="dxa"/>
            <w:vMerge w:val="restart"/>
            <w:vAlign w:val="center"/>
          </w:tcPr>
          <w:p w14:paraId="0AD4FB42">
            <w:pPr>
              <w:keepNext w:val="0"/>
              <w:keepLines w:val="0"/>
              <w:pageBreakBefore w:val="0"/>
              <w:widowControl w:val="0"/>
              <w:kinsoku/>
              <w:overflowPunct/>
              <w:topLinePunct w:val="0"/>
              <w:autoSpaceDE/>
              <w:autoSpaceDN/>
              <w:bidi w:val="0"/>
              <w:adjustRightInd/>
              <w:snapToGrid/>
              <w:spacing w:after="0" w:line="360" w:lineRule="auto"/>
              <w:ind w:firstLine="0" w:firstLineChars="0"/>
              <w:jc w:val="left"/>
              <w:textAlignment w:val="auto"/>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sz w:val="24"/>
                <w:szCs w:val="24"/>
                <w:lang w:val="en-US" w:eastAsia="zh-CN"/>
                <w14:ligatures w14:val="none"/>
              </w:rPr>
              <w:t>智慧高拍仪</w:t>
            </w:r>
          </w:p>
        </w:tc>
        <w:tc>
          <w:tcPr>
            <w:tcW w:w="6070" w:type="dxa"/>
            <w:gridSpan w:val="2"/>
            <w:shd w:val="clear" w:color="auto" w:fill="auto"/>
          </w:tcPr>
          <w:p w14:paraId="53ED5332">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14:ligatures w14:val="none"/>
              </w:rPr>
            </w:pPr>
            <w:r>
              <w:rPr>
                <w:rFonts w:hint="eastAsia" w:asciiTheme="minorEastAsia" w:hAnsiTheme="minorEastAsia" w:eastAsiaTheme="minorEastAsia" w:cstheme="minorEastAsia"/>
                <w:b w:val="0"/>
                <w:bCs w:val="0"/>
                <w:kern w:val="0"/>
                <w:sz w:val="24"/>
                <w:szCs w:val="24"/>
                <w14:ligatures w14:val="none"/>
              </w:rPr>
              <w:t>处理器</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≥6核1.8GHz高性能处理器</w:t>
            </w:r>
          </w:p>
        </w:tc>
        <w:tc>
          <w:tcPr>
            <w:tcW w:w="1284" w:type="dxa"/>
            <w:vMerge w:val="restart"/>
            <w:vAlign w:val="center"/>
          </w:tcPr>
          <w:p w14:paraId="4480B5F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sz w:val="24"/>
                <w:szCs w:val="24"/>
                <w:highlight w:val="none"/>
                <w:lang w:val="en-US" w:eastAsia="zh-CN"/>
                <w14:ligatures w14:val="none"/>
              </w:rPr>
              <w:t>6台</w:t>
            </w:r>
          </w:p>
        </w:tc>
      </w:tr>
      <w:tr w14:paraId="0546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0A9E4F4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6EA42C2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321C4D0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内存</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snapToGrid/>
                <w:kern w:val="2"/>
                <w:sz w:val="24"/>
                <w:szCs w:val="24"/>
                <w:lang w:val="en-US" w:eastAsia="zh-CN"/>
                <w14:ligatures w14:val="none"/>
              </w:rPr>
              <w:t>≥4GB，存储≥64GB。</w:t>
            </w:r>
          </w:p>
        </w:tc>
        <w:tc>
          <w:tcPr>
            <w:tcW w:w="1284" w:type="dxa"/>
            <w:vMerge w:val="continue"/>
            <w:vAlign w:val="center"/>
          </w:tcPr>
          <w:p w14:paraId="0FD11C3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3013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4" w:type="dxa"/>
            <w:vMerge w:val="continue"/>
            <w:vAlign w:val="center"/>
          </w:tcPr>
          <w:p w14:paraId="08C935E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2BD7748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66396B8F">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显示屏接口≥10英寸，分辨率≥800*1280，全视角，PS高清屏</w:t>
            </w:r>
          </w:p>
        </w:tc>
        <w:tc>
          <w:tcPr>
            <w:tcW w:w="1284" w:type="dxa"/>
            <w:vMerge w:val="continue"/>
            <w:vAlign w:val="center"/>
          </w:tcPr>
          <w:p w14:paraId="6F91F41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3BB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4" w:type="dxa"/>
            <w:vMerge w:val="continue"/>
            <w:vAlign w:val="center"/>
          </w:tcPr>
          <w:p w14:paraId="191500E3">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5ED0BBE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68669BED">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触摸屛</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支持多点触控，工业级电容屏，支持</w:t>
            </w:r>
            <w:r>
              <w:rPr>
                <w:rFonts w:hint="eastAsia" w:asciiTheme="minorEastAsia" w:hAnsiTheme="minorEastAsia" w:eastAsiaTheme="minorEastAsia" w:cstheme="minorEastAsia"/>
                <w:b w:val="0"/>
                <w:bCs w:val="0"/>
                <w:kern w:val="0"/>
                <w:sz w:val="24"/>
                <w:szCs w:val="24"/>
                <w:lang w:eastAsia="zh-CN"/>
                <w14:ligatures w14:val="none"/>
              </w:rPr>
              <w:t>戴</w:t>
            </w:r>
            <w:r>
              <w:rPr>
                <w:rFonts w:hint="eastAsia" w:asciiTheme="minorEastAsia" w:hAnsiTheme="minorEastAsia" w:eastAsiaTheme="minorEastAsia" w:cstheme="minorEastAsia"/>
                <w:b w:val="0"/>
                <w:bCs w:val="0"/>
                <w:kern w:val="0"/>
                <w:sz w:val="24"/>
                <w:szCs w:val="24"/>
                <w14:ligatures w14:val="none"/>
              </w:rPr>
              <w:t>手套触摸</w:t>
            </w:r>
          </w:p>
        </w:tc>
        <w:tc>
          <w:tcPr>
            <w:tcW w:w="1284" w:type="dxa"/>
            <w:vMerge w:val="continue"/>
            <w:vAlign w:val="center"/>
          </w:tcPr>
          <w:p w14:paraId="69D03B5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2175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804" w:type="dxa"/>
            <w:vMerge w:val="continue"/>
            <w:vAlign w:val="center"/>
          </w:tcPr>
          <w:p w14:paraId="63A401D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425B40B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557ACF7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工业相机</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≥800万全彩相机,视野范围460mm*350mm，景深600mn</w:t>
            </w:r>
          </w:p>
        </w:tc>
        <w:tc>
          <w:tcPr>
            <w:tcW w:w="1284" w:type="dxa"/>
            <w:vMerge w:val="continue"/>
            <w:vAlign w:val="center"/>
          </w:tcPr>
          <w:p w14:paraId="593E4E1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69A1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0813091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4CF8DF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607488D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读码速度</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≥60件/分钟</w:t>
            </w:r>
          </w:p>
        </w:tc>
        <w:tc>
          <w:tcPr>
            <w:tcW w:w="1284" w:type="dxa"/>
            <w:vMerge w:val="continue"/>
            <w:vAlign w:val="center"/>
          </w:tcPr>
          <w:p w14:paraId="5A573F2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036C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04" w:type="dxa"/>
            <w:vMerge w:val="continue"/>
            <w:vAlign w:val="center"/>
          </w:tcPr>
          <w:p w14:paraId="18AE735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227D33F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2D0F3C75">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kern w:val="0"/>
                <w:sz w:val="24"/>
                <w:szCs w:val="24"/>
                <w14:ligatures w14:val="none"/>
              </w:rPr>
              <w:t>条码类型</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一维码：Code39、Code93、Code128、CodeBar、EAN、ITF25等</w:t>
            </w:r>
          </w:p>
          <w:p w14:paraId="4B9588A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二维码：QR、DM等</w:t>
            </w:r>
          </w:p>
        </w:tc>
        <w:tc>
          <w:tcPr>
            <w:tcW w:w="1284" w:type="dxa"/>
            <w:vMerge w:val="continue"/>
            <w:vAlign w:val="center"/>
          </w:tcPr>
          <w:p w14:paraId="7A8F786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AF3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54973EC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85BA89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254727E4">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补光灯</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3W*4LED光源,亮度可调</w:t>
            </w:r>
          </w:p>
        </w:tc>
        <w:tc>
          <w:tcPr>
            <w:tcW w:w="1284" w:type="dxa"/>
            <w:vMerge w:val="continue"/>
            <w:vAlign w:val="center"/>
          </w:tcPr>
          <w:p w14:paraId="6CFEF70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1BAB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191C156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2F5338FF">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73D614DE">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提示灯</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共3个，正面屏幕下方*1，顶部两侧*2，支持白、红、绿三色</w:t>
            </w:r>
          </w:p>
        </w:tc>
        <w:tc>
          <w:tcPr>
            <w:tcW w:w="1284" w:type="dxa"/>
            <w:vMerge w:val="continue"/>
            <w:vAlign w:val="center"/>
          </w:tcPr>
          <w:p w14:paraId="7FF9DE04">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32E4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6E4A8659">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42C45350">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5D7A539">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喇叭</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5W*2,双喇叭</w:t>
            </w:r>
          </w:p>
        </w:tc>
        <w:tc>
          <w:tcPr>
            <w:tcW w:w="1284" w:type="dxa"/>
            <w:vMerge w:val="continue"/>
            <w:vAlign w:val="center"/>
          </w:tcPr>
          <w:p w14:paraId="1CB67A98">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5DDF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309D2B8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12D9FE7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64A0B808">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数据接口</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Type-C</w:t>
            </w:r>
          </w:p>
        </w:tc>
        <w:tc>
          <w:tcPr>
            <w:tcW w:w="1284" w:type="dxa"/>
            <w:vMerge w:val="continue"/>
            <w:vAlign w:val="center"/>
          </w:tcPr>
          <w:p w14:paraId="084B3B2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C00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vAlign w:val="center"/>
          </w:tcPr>
          <w:p w14:paraId="3C1D98FC">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3ABF0456">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2EFD2E6B">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电源接口</w:t>
            </w:r>
            <w:r>
              <w:rPr>
                <w:rFonts w:hint="eastAsia" w:asciiTheme="minorEastAsia" w:hAnsiTheme="minorEastAsia" w:eastAsiaTheme="minorEastAsia" w:cstheme="minorEastAsia"/>
                <w:b w:val="0"/>
                <w:bCs w:val="0"/>
                <w:kern w:val="0"/>
                <w:sz w:val="24"/>
                <w:szCs w:val="24"/>
                <w:lang w:val="en-US" w:eastAsia="zh-CN"/>
                <w14:ligatures w14:val="none"/>
              </w:rPr>
              <w:t>:</w:t>
            </w:r>
            <w:r>
              <w:rPr>
                <w:rFonts w:hint="eastAsia" w:asciiTheme="minorEastAsia" w:hAnsiTheme="minorEastAsia" w:eastAsiaTheme="minorEastAsia" w:cstheme="minorEastAsia"/>
                <w:b w:val="0"/>
                <w:bCs w:val="0"/>
                <w:kern w:val="0"/>
                <w:sz w:val="24"/>
                <w:szCs w:val="24"/>
                <w14:ligatures w14:val="none"/>
              </w:rPr>
              <w:t>DC电源口，12V 3A</w:t>
            </w:r>
          </w:p>
        </w:tc>
        <w:tc>
          <w:tcPr>
            <w:tcW w:w="1284" w:type="dxa"/>
            <w:vMerge w:val="continue"/>
            <w:vAlign w:val="center"/>
          </w:tcPr>
          <w:p w14:paraId="78748E4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D88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04" w:type="dxa"/>
            <w:vMerge w:val="continue"/>
            <w:vAlign w:val="center"/>
          </w:tcPr>
          <w:p w14:paraId="7DBF1C5E">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vAlign w:val="center"/>
          </w:tcPr>
          <w:p w14:paraId="0DE1D315">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040E578C">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输入输出接口</w:t>
            </w:r>
            <w:r>
              <w:rPr>
                <w:rFonts w:hint="eastAsia" w:asciiTheme="minorEastAsia" w:hAnsiTheme="minorEastAsia" w:eastAsiaTheme="minorEastAsia" w:cstheme="minorEastAsia"/>
                <w:b w:val="0"/>
                <w:bCs w:val="0"/>
                <w:kern w:val="0"/>
                <w:sz w:val="24"/>
                <w:szCs w:val="24"/>
                <w:lang w:eastAsia="zh-CN"/>
                <w14:ligatures w14:val="none"/>
              </w:rPr>
              <w:t>：</w:t>
            </w:r>
          </w:p>
          <w:p w14:paraId="3FBA0120">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14:ligatures w14:val="none"/>
              </w:rPr>
            </w:pPr>
            <w:r>
              <w:rPr>
                <w:rFonts w:hint="eastAsia" w:asciiTheme="minorEastAsia" w:hAnsiTheme="minorEastAsia" w:eastAsiaTheme="minorEastAsia" w:cstheme="minorEastAsia"/>
                <w:b w:val="0"/>
                <w:bCs w:val="0"/>
                <w:sz w:val="24"/>
                <w:szCs w:val="24"/>
                <w14:ligatures w14:val="none"/>
              </w:rPr>
              <w:t>USB接口:Type-A*3,USB2.0*2,USB3.0*1</w:t>
            </w:r>
          </w:p>
          <w:p w14:paraId="34F61FC7">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RJ45网口:1000M有线网络</w:t>
            </w:r>
          </w:p>
          <w:p w14:paraId="44C6DB73">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HDMI接口*1</w:t>
            </w:r>
          </w:p>
        </w:tc>
        <w:tc>
          <w:tcPr>
            <w:tcW w:w="1284" w:type="dxa"/>
            <w:vMerge w:val="continue"/>
            <w:vAlign w:val="center"/>
          </w:tcPr>
          <w:p w14:paraId="786EAA6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46DF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tcPr>
          <w:p w14:paraId="191F035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tcPr>
          <w:p w14:paraId="0744474A">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6EFB6952">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OTG接口</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支持</w:t>
            </w:r>
          </w:p>
        </w:tc>
        <w:tc>
          <w:tcPr>
            <w:tcW w:w="1284" w:type="dxa"/>
            <w:vMerge w:val="continue"/>
          </w:tcPr>
          <w:p w14:paraId="3737BA6D">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r w14:paraId="7123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04" w:type="dxa"/>
            <w:vMerge w:val="continue"/>
          </w:tcPr>
          <w:p w14:paraId="0883A741">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1142" w:type="dxa"/>
            <w:vMerge w:val="continue"/>
          </w:tcPr>
          <w:p w14:paraId="633E59DB">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14:ligatures w14:val="none"/>
              </w:rPr>
            </w:pPr>
          </w:p>
        </w:tc>
        <w:tc>
          <w:tcPr>
            <w:tcW w:w="6070" w:type="dxa"/>
            <w:gridSpan w:val="2"/>
            <w:shd w:val="clear" w:color="auto" w:fill="auto"/>
          </w:tcPr>
          <w:p w14:paraId="47A7D25D">
            <w:pPr>
              <w:keepNext w:val="0"/>
              <w:keepLines w:val="0"/>
              <w:pageBreakBefore w:val="0"/>
              <w:widowControl w:val="0"/>
              <w:kinsoku/>
              <w:overflowPunct/>
              <w:topLinePunct w:val="0"/>
              <w:autoSpaceDE/>
              <w:autoSpaceDN/>
              <w:bidi w:val="0"/>
              <w:adjustRightInd/>
              <w:snapToGrid/>
              <w:spacing w:after="0" w:line="360" w:lineRule="auto"/>
              <w:ind w:firstLine="0" w:firstLineChars="0"/>
              <w:textAlignment w:val="auto"/>
              <w:rPr>
                <w:rFonts w:hint="eastAsia" w:asciiTheme="minorEastAsia" w:hAnsiTheme="minorEastAsia" w:eastAsiaTheme="minorEastAsia" w:cstheme="minorEastAsia"/>
                <w:b w:val="0"/>
                <w:bCs w:val="0"/>
                <w:kern w:val="0"/>
                <w:sz w:val="24"/>
                <w:szCs w:val="24"/>
                <w:lang w:val="en-US" w:eastAsia="zh-CN" w:bidi="ar-SA"/>
                <w14:ligatures w14:val="none"/>
              </w:rPr>
            </w:pPr>
            <w:r>
              <w:rPr>
                <w:rFonts w:hint="eastAsia" w:asciiTheme="minorEastAsia" w:hAnsiTheme="minorEastAsia" w:eastAsiaTheme="minorEastAsia" w:cstheme="minorEastAsia"/>
                <w:b w:val="0"/>
                <w:bCs w:val="0"/>
                <w:kern w:val="0"/>
                <w:sz w:val="24"/>
                <w:szCs w:val="24"/>
                <w14:ligatures w14:val="none"/>
              </w:rPr>
              <w:t>内部扩展</w:t>
            </w:r>
            <w:r>
              <w:rPr>
                <w:rFonts w:hint="eastAsia" w:asciiTheme="minorEastAsia" w:hAnsiTheme="minorEastAsia" w:eastAsiaTheme="minorEastAsia" w:cstheme="minorEastAsia"/>
                <w:b w:val="0"/>
                <w:bCs w:val="0"/>
                <w:kern w:val="0"/>
                <w:sz w:val="24"/>
                <w:szCs w:val="24"/>
                <w:lang w:eastAsia="zh-CN"/>
                <w14:ligatures w14:val="none"/>
              </w:rPr>
              <w:t>：</w:t>
            </w:r>
            <w:r>
              <w:rPr>
                <w:rFonts w:hint="eastAsia" w:asciiTheme="minorEastAsia" w:hAnsiTheme="minorEastAsia" w:eastAsiaTheme="minorEastAsia" w:cstheme="minorEastAsia"/>
                <w:b w:val="0"/>
                <w:bCs w:val="0"/>
                <w:kern w:val="0"/>
                <w:sz w:val="24"/>
                <w:szCs w:val="24"/>
                <w14:ligatures w14:val="none"/>
              </w:rPr>
              <w:t>支持Micro SD卡扩展</w:t>
            </w:r>
          </w:p>
        </w:tc>
        <w:tc>
          <w:tcPr>
            <w:tcW w:w="1284" w:type="dxa"/>
            <w:vMerge w:val="continue"/>
          </w:tcPr>
          <w:p w14:paraId="707B2DE2">
            <w:pPr>
              <w:keepNext w:val="0"/>
              <w:keepLines w:val="0"/>
              <w:pageBreakBefore w:val="0"/>
              <w:widowControl w:val="0"/>
              <w:kinsoku/>
              <w:overflowPunct/>
              <w:topLinePunct w:val="0"/>
              <w:autoSpaceDE/>
              <w:autoSpaceDN/>
              <w:bidi w:val="0"/>
              <w:adjustRightInd/>
              <w:snapToGrid/>
              <w:spacing w:after="0" w:line="360" w:lineRule="auto"/>
              <w:ind w:firstLine="0" w:firstLineChars="0"/>
              <w:jc w:val="center"/>
              <w:textAlignment w:val="auto"/>
              <w:rPr>
                <w:rFonts w:hint="eastAsia" w:asciiTheme="minorEastAsia" w:hAnsiTheme="minorEastAsia" w:eastAsiaTheme="minorEastAsia" w:cstheme="minorEastAsia"/>
                <w:kern w:val="0"/>
                <w:sz w:val="24"/>
                <w:szCs w:val="24"/>
                <w:lang w:val="en-US" w:eastAsia="zh-CN"/>
                <w14:ligatures w14:val="none"/>
              </w:rPr>
            </w:pPr>
          </w:p>
        </w:tc>
      </w:tr>
    </w:tbl>
    <w:p w14:paraId="1DBD65BA">
      <w:pPr>
        <w:rPr>
          <w:rFonts w:hint="eastAsia" w:asciiTheme="minorEastAsia" w:hAnsiTheme="minorEastAsia" w:eastAsiaTheme="minorEastAsia" w:cstheme="minorEastAsia"/>
        </w:rPr>
      </w:pPr>
    </w:p>
    <w:p w14:paraId="0E27A49E">
      <w:pPr>
        <w:widowControl w:val="0"/>
        <w:numPr>
          <w:ilvl w:val="0"/>
          <w:numId w:val="0"/>
        </w:numPr>
        <w:spacing w:after="120" w:line="360" w:lineRule="auto"/>
        <w:jc w:val="both"/>
        <w:rPr>
          <w:rFonts w:hint="eastAsia" w:asciiTheme="minorEastAsia" w:hAnsiTheme="minorEastAsia" w:eastAsiaTheme="minorEastAsia" w:cstheme="minorEastAsia"/>
          <w:kern w:val="2"/>
          <w:sz w:val="24"/>
          <w:szCs w:val="22"/>
          <w:lang w:val="en-US" w:eastAsia="zh-CN" w:bidi="ar-SA"/>
        </w:rPr>
      </w:pPr>
    </w:p>
    <w:p w14:paraId="0AF4C04E">
      <w:pPr>
        <w:bidi w:val="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lang w:val="en-US" w:eastAsia="zh-CN"/>
        </w:rPr>
        <w:t>（五）其他</w:t>
      </w:r>
      <w:r>
        <w:rPr>
          <w:rFonts w:hint="eastAsia" w:asciiTheme="minorEastAsia" w:hAnsiTheme="minorEastAsia" w:eastAsiaTheme="minorEastAsia" w:cstheme="minorEastAsia"/>
          <w:b/>
          <w:bCs/>
          <w:sz w:val="24"/>
          <w:szCs w:val="22"/>
        </w:rPr>
        <w:t>要求</w:t>
      </w:r>
    </w:p>
    <w:p w14:paraId="765C51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bidi="ar"/>
        </w:rPr>
        <w:t>1.</w:t>
      </w:r>
      <w:r>
        <w:rPr>
          <w:rFonts w:hint="eastAsia" w:asciiTheme="minorEastAsia" w:hAnsiTheme="minorEastAsia" w:eastAsiaTheme="minorEastAsia" w:cstheme="minorEastAsia"/>
          <w:color w:val="000000"/>
          <w:kern w:val="0"/>
          <w:sz w:val="24"/>
          <w:szCs w:val="24"/>
          <w:highlight w:val="none"/>
          <w:lang w:val="en-US" w:eastAsia="zh-CN" w:bidi="ar"/>
        </w:rPr>
        <w:t>质保</w:t>
      </w:r>
      <w:r>
        <w:rPr>
          <w:rFonts w:hint="eastAsia" w:asciiTheme="minorEastAsia" w:hAnsiTheme="minorEastAsia" w:eastAsiaTheme="minorEastAsia" w:cstheme="minorEastAsia"/>
          <w:color w:val="000000"/>
          <w:kern w:val="0"/>
          <w:sz w:val="24"/>
          <w:szCs w:val="24"/>
          <w:highlight w:val="none"/>
          <w:lang w:bidi="ar"/>
        </w:rPr>
        <w:t>期</w:t>
      </w:r>
    </w:p>
    <w:p w14:paraId="36D48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验收合格之日起供应商提供3年系统软件及硬件的保修，保修期内零配件应免费更换，返厂返院运费由供应商负担。</w:t>
      </w:r>
    </w:p>
    <w:p w14:paraId="347C6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2.运维团队</w:t>
      </w:r>
    </w:p>
    <w:p w14:paraId="3B4AC0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供应商组建专业的保障团队，为医院</w:t>
      </w:r>
      <w:r>
        <w:rPr>
          <w:rFonts w:hint="eastAsia" w:asciiTheme="minorEastAsia" w:hAnsiTheme="minorEastAsia" w:eastAsiaTheme="minorEastAsia" w:cstheme="minorEastAsia"/>
          <w:sz w:val="24"/>
          <w:szCs w:val="24"/>
          <w:highlight w:val="none"/>
        </w:rPr>
        <w:t>药品</w:t>
      </w:r>
      <w:r>
        <w:rPr>
          <w:rFonts w:hint="eastAsia" w:asciiTheme="minorEastAsia" w:hAnsiTheme="minorEastAsia" w:eastAsiaTheme="minorEastAsia" w:cstheme="minorEastAsia"/>
          <w:sz w:val="24"/>
          <w:szCs w:val="24"/>
          <w:highlight w:val="none"/>
          <w:lang w:val="en-US" w:eastAsia="zh-CN"/>
        </w:rPr>
        <w:t>耗材</w:t>
      </w:r>
      <w:r>
        <w:rPr>
          <w:rFonts w:hint="eastAsia" w:asciiTheme="minorEastAsia" w:hAnsiTheme="minorEastAsia" w:eastAsiaTheme="minorEastAsia" w:cstheme="minorEastAsia"/>
          <w:sz w:val="24"/>
          <w:szCs w:val="24"/>
          <w:highlight w:val="none"/>
        </w:rPr>
        <w:t>追溯码管理系统</w:t>
      </w:r>
      <w:r>
        <w:rPr>
          <w:rFonts w:hint="eastAsia" w:asciiTheme="minorEastAsia" w:hAnsiTheme="minorEastAsia" w:eastAsiaTheme="minorEastAsia" w:cstheme="minorEastAsia"/>
          <w:color w:val="000000"/>
          <w:kern w:val="0"/>
          <w:sz w:val="24"/>
          <w:szCs w:val="24"/>
          <w:highlight w:val="none"/>
          <w:lang w:val="en-US" w:eastAsia="zh-CN" w:bidi="ar"/>
        </w:rPr>
        <w:t>项目提供7×24小时响应服务需求。供应商提供保障团队的人员名单、联系电话，保证提供7×24小时的包括主机、存储、网络、软件层面的维护保障服务。</w:t>
      </w:r>
    </w:p>
    <w:p w14:paraId="6783CC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3.数据保密</w:t>
      </w:r>
    </w:p>
    <w:p w14:paraId="5C4AA4AB">
      <w:pPr>
        <w:widowControl w:val="0"/>
        <w:spacing w:line="360" w:lineRule="auto"/>
        <w:jc w:val="both"/>
        <w:rPr>
          <w:rFonts w:hint="eastAsia" w:asciiTheme="minorEastAsia" w:hAnsiTheme="minorEastAsia" w:eastAsiaTheme="minorEastAsia" w:cstheme="minorEastAsia"/>
          <w:kern w:val="2"/>
          <w:sz w:val="24"/>
          <w:szCs w:val="22"/>
          <w:lang w:val="en-US" w:eastAsia="zh-CN" w:bidi="ar-SA"/>
        </w:rPr>
      </w:pPr>
      <w:r>
        <w:rPr>
          <w:rFonts w:hint="eastAsia" w:asciiTheme="minorEastAsia" w:hAnsiTheme="minorEastAsia" w:eastAsiaTheme="minorEastAsia" w:cstheme="minorEastAsia"/>
          <w:color w:val="000000"/>
          <w:kern w:val="0"/>
          <w:sz w:val="24"/>
          <w:szCs w:val="24"/>
          <w:highlight w:val="none"/>
          <w:lang w:val="en-US" w:eastAsia="zh-CN" w:bidi="ar"/>
        </w:rPr>
        <w:t xml:space="preserve">    所有服务于本项目的人员，需对医院</w:t>
      </w:r>
      <w:r>
        <w:rPr>
          <w:rFonts w:hint="eastAsia" w:asciiTheme="minorEastAsia" w:hAnsiTheme="minorEastAsia" w:eastAsiaTheme="minorEastAsia" w:cstheme="minorEastAsia"/>
          <w:kern w:val="2"/>
          <w:sz w:val="24"/>
          <w:szCs w:val="24"/>
          <w:highlight w:val="none"/>
          <w:lang w:val="en-US" w:eastAsia="zh-CN" w:bidi="ar-SA"/>
        </w:rPr>
        <w:t>药品耗材追溯码管理系统</w:t>
      </w:r>
      <w:r>
        <w:rPr>
          <w:rFonts w:hint="eastAsia" w:asciiTheme="minorEastAsia" w:hAnsiTheme="minorEastAsia" w:eastAsiaTheme="minorEastAsia" w:cstheme="minorEastAsia"/>
          <w:color w:val="000000"/>
          <w:kern w:val="0"/>
          <w:sz w:val="24"/>
          <w:szCs w:val="24"/>
          <w:highlight w:val="none"/>
          <w:lang w:val="en-US" w:eastAsia="zh-CN" w:bidi="ar"/>
        </w:rPr>
        <w:t>项目涉及的所有数据进行保密，包括药品耗材基础信息、使用数量、生产厂家、患者信息等一切敏感数据信息，不得私自留存或泄露给其他第三方。</w:t>
      </w:r>
    </w:p>
    <w:p w14:paraId="60D84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kern w:val="0"/>
          <w:sz w:val="24"/>
          <w:szCs w:val="24"/>
          <w:highlight w:val="none"/>
          <w:lang w:bidi="ar"/>
        </w:rPr>
      </w:pPr>
      <w:r>
        <w:rPr>
          <w:rFonts w:hint="eastAsia" w:asciiTheme="minorEastAsia" w:hAnsiTheme="minorEastAsia" w:eastAsiaTheme="minorEastAsia" w:cstheme="minorEastAsia"/>
          <w:color w:val="000000"/>
          <w:kern w:val="0"/>
          <w:sz w:val="24"/>
          <w:szCs w:val="24"/>
          <w:highlight w:val="none"/>
          <w:lang w:val="en-US" w:eastAsia="zh-CN" w:bidi="ar"/>
        </w:rPr>
        <w:t>4</w:t>
      </w:r>
      <w:r>
        <w:rPr>
          <w:rFonts w:hint="eastAsia" w:asciiTheme="minorEastAsia" w:hAnsiTheme="minorEastAsia" w:eastAsiaTheme="minorEastAsia" w:cstheme="minorEastAsia"/>
          <w:color w:val="000000"/>
          <w:kern w:val="0"/>
          <w:sz w:val="24"/>
          <w:szCs w:val="24"/>
          <w:highlight w:val="none"/>
          <w:lang w:bidi="ar"/>
        </w:rPr>
        <w:t>.本项目报价按照总价进行报价，包含所需定制开发软件及配套硬件设施设备费、系统安装费、培训费、系统部署建设费用、调试、检测验收、技术服务、系统升级、税金和约定期限内免费维保等一切为实现功能所需的软硬件及服务，</w:t>
      </w:r>
      <w:r>
        <w:rPr>
          <w:rFonts w:hint="eastAsia" w:asciiTheme="minorEastAsia" w:hAnsiTheme="minorEastAsia" w:eastAsiaTheme="minorEastAsia" w:cstheme="minorEastAsia"/>
          <w:color w:val="000000"/>
          <w:kern w:val="0"/>
          <w:sz w:val="24"/>
          <w:szCs w:val="24"/>
          <w:highlight w:val="none"/>
          <w:lang w:val="en-US" w:eastAsia="zh-CN" w:bidi="ar"/>
        </w:rPr>
        <w:t>约定运维期内</w:t>
      </w:r>
      <w:r>
        <w:rPr>
          <w:rFonts w:hint="eastAsia" w:asciiTheme="minorEastAsia" w:hAnsiTheme="minorEastAsia" w:eastAsiaTheme="minorEastAsia" w:cstheme="minorEastAsia"/>
          <w:color w:val="000000"/>
          <w:kern w:val="0"/>
          <w:sz w:val="24"/>
          <w:szCs w:val="24"/>
          <w:highlight w:val="none"/>
          <w:lang w:bidi="ar"/>
        </w:rPr>
        <w:t>医院不再支付其他关联费用。</w:t>
      </w:r>
    </w:p>
    <w:p w14:paraId="3870BFDF">
      <w:pPr>
        <w:ind w:left="-424" w:leftChars="-202" w:firstLine="120" w:firstLineChars="50"/>
        <w:jc w:val="left"/>
        <w:rPr>
          <w:rFonts w:hint="eastAsia" w:ascii="宋体" w:hAnsi="宋体"/>
          <w:color w:val="000000"/>
          <w:sz w:val="24"/>
        </w:rPr>
      </w:pPr>
    </w:p>
    <w:p w14:paraId="39E2589A">
      <w:pPr>
        <w:ind w:left="-424" w:leftChars="-202"/>
        <w:jc w:val="left"/>
        <w:rPr>
          <w:rFonts w:hint="eastAsia" w:ascii="宋体" w:hAnsi="宋体"/>
          <w:color w:val="000000"/>
          <w:sz w:val="24"/>
        </w:rPr>
      </w:pPr>
    </w:p>
    <w:p w14:paraId="5C6F1A9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bookmarkEnd w:id="39"/>
    <w:bookmarkEnd w:id="40"/>
    <w:bookmarkEnd w:id="41"/>
    <w:p w14:paraId="27668E79">
      <w:pPr>
        <w:pStyle w:val="3"/>
        <w:numPr>
          <w:ilvl w:val="1"/>
          <w:numId w:val="0"/>
        </w:numPr>
        <w:spacing w:before="0" w:after="156" w:afterLines="50" w:line="580" w:lineRule="exact"/>
        <w:jc w:val="center"/>
        <w:rPr>
          <w:rFonts w:ascii="宋体" w:hAnsi="宋体" w:eastAsia="宋体" w:cs="宋体"/>
        </w:rPr>
      </w:pPr>
      <w:bookmarkStart w:id="42" w:name="_Toc3033"/>
      <w:r>
        <w:rPr>
          <w:rFonts w:hint="eastAsia" w:ascii="宋体" w:hAnsi="宋体" w:eastAsia="宋体" w:cs="宋体"/>
          <w:sz w:val="28"/>
          <w:szCs w:val="28"/>
        </w:rPr>
        <w:t>四、评审方法和标准</w:t>
      </w:r>
      <w:bookmarkEnd w:id="42"/>
    </w:p>
    <w:p w14:paraId="5248D234">
      <w:pPr>
        <w:pStyle w:val="3"/>
        <w:numPr>
          <w:ilvl w:val="1"/>
          <w:numId w:val="0"/>
        </w:numPr>
        <w:bidi w:val="0"/>
      </w:pPr>
      <w:r>
        <w:rPr>
          <w:rFonts w:hint="eastAsia"/>
        </w:rPr>
        <w:t>（一）资格审查</w:t>
      </w:r>
    </w:p>
    <w:p w14:paraId="1651D882">
      <w:pPr>
        <w:wordWrap w:val="0"/>
        <w:spacing w:line="520" w:lineRule="exact"/>
        <w:ind w:firstLine="480" w:firstLineChars="200"/>
        <w:rPr>
          <w:rFonts w:ascii="宋体" w:hAnsi="宋体" w:cs="宋体"/>
          <w:sz w:val="24"/>
          <w:szCs w:val="24"/>
        </w:rPr>
      </w:pPr>
      <w:r>
        <w:rPr>
          <w:rFonts w:hint="eastAsia" w:ascii="宋体" w:hAnsi="宋体" w:cs="宋体"/>
          <w:sz w:val="24"/>
          <w:szCs w:val="24"/>
        </w:rPr>
        <w:t>采购人对供应商的资格进行审查，审查响应文件是否响应了磋商文件的资格要求。当发现供应商或其响应文件存在下列情况之一时，将判定供应商的资格不符合要求，资格审查不通过。</w:t>
      </w:r>
    </w:p>
    <w:p w14:paraId="729CD5A2">
      <w:pPr>
        <w:spacing w:line="192" w:lineRule="exact"/>
        <w:rPr>
          <w:rFonts w:ascii="宋体" w:hAnsi="宋体" w:cs="宋体"/>
          <w:sz w:val="24"/>
          <w:szCs w:val="24"/>
        </w:rPr>
      </w:pPr>
    </w:p>
    <w:tbl>
      <w:tblPr>
        <w:tblStyle w:val="103"/>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929"/>
        <w:gridCol w:w="1441"/>
        <w:gridCol w:w="6489"/>
      </w:tblGrid>
      <w:tr w14:paraId="1718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vAlign w:val="center"/>
          </w:tcPr>
          <w:p w14:paraId="399BB8E0">
            <w:pPr>
              <w:spacing w:line="400" w:lineRule="exact"/>
              <w:jc w:val="center"/>
              <w:rPr>
                <w:rFonts w:ascii="宋体" w:hAnsi="宋体" w:cs="宋体"/>
                <w:b/>
                <w:bCs/>
                <w:sz w:val="24"/>
                <w:szCs w:val="24"/>
              </w:rPr>
            </w:pPr>
            <w:r>
              <w:rPr>
                <w:rFonts w:hint="eastAsia" w:ascii="宋体" w:hAnsi="宋体" w:cs="宋体"/>
                <w:b/>
                <w:bCs/>
                <w:sz w:val="24"/>
                <w:szCs w:val="24"/>
              </w:rPr>
              <w:t>审查内容</w:t>
            </w:r>
          </w:p>
        </w:tc>
        <w:tc>
          <w:tcPr>
            <w:tcW w:w="6489" w:type="dxa"/>
            <w:vAlign w:val="center"/>
          </w:tcPr>
          <w:p w14:paraId="771106CF">
            <w:pPr>
              <w:spacing w:line="400" w:lineRule="exact"/>
              <w:jc w:val="center"/>
              <w:rPr>
                <w:rFonts w:ascii="宋体" w:hAnsi="宋体" w:cs="宋体"/>
                <w:b/>
                <w:bCs/>
                <w:sz w:val="24"/>
                <w:szCs w:val="24"/>
              </w:rPr>
            </w:pPr>
            <w:r>
              <w:rPr>
                <w:rFonts w:hint="eastAsia" w:ascii="宋体" w:hAnsi="宋体" w:cs="宋体"/>
                <w:b/>
                <w:bCs/>
                <w:sz w:val="24"/>
                <w:szCs w:val="24"/>
              </w:rPr>
              <w:t>审查标准</w:t>
            </w:r>
          </w:p>
        </w:tc>
      </w:tr>
      <w:tr w14:paraId="5A378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vAlign w:val="center"/>
          </w:tcPr>
          <w:p w14:paraId="6FE72E3D">
            <w:pPr>
              <w:spacing w:line="400" w:lineRule="exact"/>
              <w:jc w:val="center"/>
              <w:rPr>
                <w:rFonts w:ascii="宋体" w:hAnsi="宋体" w:cs="宋体"/>
                <w:sz w:val="24"/>
                <w:szCs w:val="24"/>
              </w:rPr>
            </w:pPr>
            <w:r>
              <w:rPr>
                <w:rFonts w:hint="eastAsia" w:ascii="宋体" w:hAnsi="宋体" w:cs="宋体"/>
                <w:sz w:val="24"/>
                <w:szCs w:val="24"/>
              </w:rPr>
              <w:t>资格</w:t>
            </w:r>
          </w:p>
          <w:p w14:paraId="07D7F9A6">
            <w:pPr>
              <w:spacing w:line="400" w:lineRule="exact"/>
              <w:jc w:val="center"/>
              <w:rPr>
                <w:rFonts w:ascii="宋体" w:hAnsi="宋体" w:cs="宋体"/>
                <w:sz w:val="24"/>
                <w:szCs w:val="24"/>
              </w:rPr>
            </w:pPr>
            <w:r>
              <w:rPr>
                <w:rFonts w:hint="eastAsia" w:ascii="宋体" w:hAnsi="宋体" w:cs="宋体"/>
                <w:sz w:val="24"/>
                <w:szCs w:val="24"/>
              </w:rPr>
              <w:t>审查</w:t>
            </w:r>
          </w:p>
        </w:tc>
        <w:tc>
          <w:tcPr>
            <w:tcW w:w="1441" w:type="dxa"/>
            <w:vAlign w:val="center"/>
          </w:tcPr>
          <w:p w14:paraId="774076D2">
            <w:pPr>
              <w:spacing w:line="400" w:lineRule="exact"/>
              <w:jc w:val="center"/>
              <w:rPr>
                <w:rFonts w:ascii="宋体" w:hAnsi="宋体" w:cs="宋体"/>
                <w:sz w:val="24"/>
                <w:szCs w:val="24"/>
              </w:rPr>
            </w:pPr>
            <w:r>
              <w:rPr>
                <w:rFonts w:hint="eastAsia" w:ascii="宋体" w:hAnsi="宋体" w:cs="宋体"/>
                <w:sz w:val="24"/>
                <w:szCs w:val="24"/>
              </w:rPr>
              <w:t>营业执照</w:t>
            </w:r>
          </w:p>
        </w:tc>
        <w:tc>
          <w:tcPr>
            <w:tcW w:w="6489" w:type="dxa"/>
            <w:vAlign w:val="center"/>
          </w:tcPr>
          <w:p w14:paraId="28869B9A">
            <w:pPr>
              <w:spacing w:line="400" w:lineRule="exact"/>
              <w:rPr>
                <w:rFonts w:ascii="宋体" w:hAnsi="宋体" w:cs="宋体"/>
                <w:sz w:val="24"/>
                <w:szCs w:val="24"/>
              </w:rPr>
            </w:pPr>
            <w:r>
              <w:rPr>
                <w:rFonts w:hint="eastAsia" w:ascii="宋体" w:hAnsi="宋体" w:cs="宋体"/>
                <w:sz w:val="24"/>
                <w:szCs w:val="24"/>
              </w:rPr>
              <w:t>未提供营业执照</w:t>
            </w:r>
          </w:p>
        </w:tc>
      </w:tr>
      <w:tr w14:paraId="2BB7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14:paraId="75D5B683">
            <w:pPr>
              <w:spacing w:line="400" w:lineRule="exact"/>
              <w:jc w:val="center"/>
              <w:rPr>
                <w:rFonts w:ascii="宋体" w:hAnsi="宋体" w:cs="宋体"/>
                <w:sz w:val="24"/>
                <w:szCs w:val="24"/>
              </w:rPr>
            </w:pPr>
          </w:p>
        </w:tc>
        <w:tc>
          <w:tcPr>
            <w:tcW w:w="1441" w:type="dxa"/>
            <w:vAlign w:val="center"/>
          </w:tcPr>
          <w:p w14:paraId="6364D6D0">
            <w:pPr>
              <w:spacing w:line="400" w:lineRule="exact"/>
              <w:jc w:val="center"/>
              <w:rPr>
                <w:rFonts w:ascii="宋体" w:hAnsi="宋体" w:cs="宋体"/>
                <w:sz w:val="24"/>
                <w:szCs w:val="24"/>
              </w:rPr>
            </w:pPr>
            <w:r>
              <w:rPr>
                <w:rFonts w:hint="eastAsia" w:ascii="宋体" w:hAnsi="宋体" w:cs="宋体"/>
                <w:sz w:val="24"/>
                <w:szCs w:val="24"/>
              </w:rPr>
              <w:t>资格条件</w:t>
            </w:r>
          </w:p>
        </w:tc>
        <w:tc>
          <w:tcPr>
            <w:tcW w:w="6489" w:type="dxa"/>
            <w:vAlign w:val="center"/>
          </w:tcPr>
          <w:p w14:paraId="4C660832">
            <w:pPr>
              <w:spacing w:line="400" w:lineRule="exact"/>
              <w:rPr>
                <w:rFonts w:ascii="宋体" w:hAnsi="宋体" w:cs="宋体"/>
                <w:sz w:val="24"/>
                <w:szCs w:val="24"/>
              </w:rPr>
            </w:pPr>
            <w:r>
              <w:rPr>
                <w:rFonts w:hint="eastAsia" w:ascii="宋体" w:hAnsi="宋体" w:cs="宋体"/>
                <w:sz w:val="24"/>
                <w:szCs w:val="24"/>
              </w:rPr>
              <w:t>不符合磋商文件要求</w:t>
            </w:r>
          </w:p>
        </w:tc>
      </w:tr>
      <w:tr w14:paraId="2770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14:paraId="2ED40711">
            <w:pPr>
              <w:spacing w:line="400" w:lineRule="exact"/>
              <w:jc w:val="center"/>
              <w:rPr>
                <w:rFonts w:ascii="宋体" w:hAnsi="宋体" w:cs="宋体"/>
                <w:sz w:val="24"/>
                <w:szCs w:val="24"/>
              </w:rPr>
            </w:pPr>
          </w:p>
        </w:tc>
        <w:tc>
          <w:tcPr>
            <w:tcW w:w="1441" w:type="dxa"/>
            <w:vAlign w:val="center"/>
          </w:tcPr>
          <w:p w14:paraId="11A47D6B">
            <w:pPr>
              <w:spacing w:line="400" w:lineRule="exact"/>
              <w:jc w:val="center"/>
              <w:rPr>
                <w:rFonts w:ascii="宋体" w:hAnsi="宋体" w:cs="宋体"/>
                <w:sz w:val="24"/>
                <w:szCs w:val="24"/>
              </w:rPr>
            </w:pPr>
            <w:r>
              <w:rPr>
                <w:rFonts w:hint="eastAsia" w:ascii="宋体" w:hAnsi="宋体" w:cs="宋体"/>
                <w:sz w:val="24"/>
                <w:szCs w:val="24"/>
              </w:rPr>
              <w:t>信用要求</w:t>
            </w:r>
          </w:p>
        </w:tc>
        <w:tc>
          <w:tcPr>
            <w:tcW w:w="6489" w:type="dxa"/>
            <w:vAlign w:val="center"/>
          </w:tcPr>
          <w:p w14:paraId="3CE021BF">
            <w:pPr>
              <w:spacing w:line="400" w:lineRule="exact"/>
              <w:rPr>
                <w:rFonts w:ascii="宋体" w:hAnsi="宋体" w:cs="宋体"/>
                <w:sz w:val="24"/>
                <w:szCs w:val="24"/>
              </w:rPr>
            </w:pPr>
            <w:r>
              <w:rPr>
                <w:rFonts w:hint="eastAsia" w:ascii="宋体" w:hAnsi="宋体" w:cs="宋体"/>
                <w:sz w:val="24"/>
                <w:szCs w:val="24"/>
              </w:rPr>
              <w:t>不符合磋商文件要求</w:t>
            </w:r>
          </w:p>
          <w:p w14:paraId="243E83E7">
            <w:pPr>
              <w:spacing w:line="400" w:lineRule="exact"/>
              <w:rPr>
                <w:rFonts w:ascii="宋体" w:hAnsi="宋体" w:cs="宋体"/>
                <w:sz w:val="24"/>
                <w:szCs w:val="24"/>
              </w:rPr>
            </w:pPr>
            <w:r>
              <w:rPr>
                <w:rFonts w:hint="eastAsia" w:ascii="宋体" w:hAnsi="宋体" w:cs="宋体"/>
                <w:sz w:val="24"/>
                <w:szCs w:val="24"/>
              </w:rPr>
              <w:t>注 ：</w:t>
            </w:r>
          </w:p>
          <w:p w14:paraId="6E24949D">
            <w:pPr>
              <w:spacing w:line="400" w:lineRule="exact"/>
              <w:rPr>
                <w:rFonts w:ascii="宋体" w:hAnsi="宋体" w:cs="宋体"/>
                <w:sz w:val="24"/>
                <w:szCs w:val="24"/>
              </w:rPr>
            </w:pPr>
            <w:r>
              <w:rPr>
                <w:rFonts w:hint="eastAsia" w:ascii="宋体" w:hAnsi="宋体" w:cs="宋体"/>
                <w:sz w:val="24"/>
                <w:szCs w:val="24"/>
              </w:rPr>
              <w:t>1.信用记录查询渠道：</w:t>
            </w:r>
          </w:p>
          <w:p w14:paraId="4353017C">
            <w:pPr>
              <w:spacing w:line="400" w:lineRule="exac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被人民法院列入失信被执行人名单的</w:t>
            </w:r>
            <w:r>
              <w:rPr>
                <w:rFonts w:hint="eastAsia" w:ascii="宋体" w:hAnsi="宋体" w:cs="宋体"/>
                <w:sz w:val="24"/>
                <w:szCs w:val="24"/>
                <w:lang w:eastAsia="zh-CN"/>
              </w:rPr>
              <w:t>（</w:t>
            </w:r>
            <w:r>
              <w:rPr>
                <w:rFonts w:hint="eastAsia" w:ascii="宋体" w:hAnsi="宋体" w:cs="宋体"/>
                <w:sz w:val="24"/>
                <w:szCs w:val="24"/>
              </w:rPr>
              <w:t>以</w:t>
            </w:r>
          </w:p>
          <w:p w14:paraId="657CC279">
            <w:pPr>
              <w:spacing w:line="400" w:lineRule="exact"/>
              <w:rPr>
                <w:rFonts w:hint="eastAsia" w:ascii="宋体" w:hAnsi="宋体" w:eastAsia="宋体" w:cs="宋体"/>
                <w:sz w:val="24"/>
                <w:szCs w:val="24"/>
                <w:lang w:eastAsia="zh-CN"/>
              </w:rPr>
            </w:pPr>
            <w:r>
              <w:rPr>
                <w:rFonts w:hint="eastAsia" w:ascii="宋体" w:hAnsi="宋体" w:cs="宋体"/>
                <w:sz w:val="24"/>
                <w:szCs w:val="24"/>
              </w:rPr>
              <w:t>www.creditchina.gov.cn查询为准</w:t>
            </w:r>
            <w:r>
              <w:rPr>
                <w:rFonts w:hint="eastAsia" w:ascii="宋体" w:hAnsi="宋体" w:cs="宋体"/>
                <w:sz w:val="24"/>
                <w:szCs w:val="24"/>
                <w:lang w:eastAsia="zh-CN"/>
              </w:rPr>
              <w:t>）</w:t>
            </w:r>
          </w:p>
          <w:p w14:paraId="38ECBE22">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被税务机关列入重大税收违法失信主体名单的</w:t>
            </w:r>
            <w:r>
              <w:rPr>
                <w:rFonts w:hint="eastAsia" w:ascii="宋体" w:hAnsi="宋体" w:cs="宋体"/>
                <w:sz w:val="24"/>
                <w:szCs w:val="24"/>
                <w:lang w:eastAsia="zh-CN"/>
              </w:rPr>
              <w:t>（</w:t>
            </w:r>
            <w:r>
              <w:rPr>
                <w:rFonts w:hint="eastAsia" w:ascii="宋体" w:hAnsi="宋体" w:cs="宋体"/>
                <w:sz w:val="24"/>
                <w:szCs w:val="24"/>
              </w:rPr>
              <w:t>以ww w.creditchina.gov.cn查询为准</w:t>
            </w:r>
            <w:r>
              <w:rPr>
                <w:rFonts w:hint="eastAsia" w:ascii="宋体" w:hAnsi="宋体" w:cs="宋体"/>
                <w:sz w:val="24"/>
                <w:szCs w:val="24"/>
                <w:lang w:eastAsia="zh-CN"/>
              </w:rPr>
              <w:t>）</w:t>
            </w:r>
          </w:p>
          <w:p w14:paraId="1093B2F9">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 xml:space="preserve">被财政部门列入政府采购严重违法失信行为记录名单的 </w:t>
            </w:r>
            <w:r>
              <w:rPr>
                <w:rFonts w:hint="eastAsia" w:ascii="宋体" w:hAnsi="宋体" w:cs="宋体"/>
                <w:sz w:val="24"/>
                <w:szCs w:val="24"/>
                <w:lang w:eastAsia="zh-CN"/>
              </w:rPr>
              <w:t>（</w:t>
            </w:r>
            <w:r>
              <w:rPr>
                <w:rFonts w:hint="eastAsia" w:ascii="宋体" w:hAnsi="宋体" w:cs="宋体"/>
                <w:sz w:val="24"/>
                <w:szCs w:val="24"/>
              </w:rPr>
              <w:t>以www.ccgp.gov.cn/查询为准</w:t>
            </w:r>
            <w:r>
              <w:rPr>
                <w:rFonts w:hint="eastAsia" w:ascii="宋体" w:hAnsi="宋体" w:cs="宋体"/>
                <w:sz w:val="24"/>
                <w:szCs w:val="24"/>
                <w:lang w:eastAsia="zh-CN"/>
              </w:rPr>
              <w:t>）</w:t>
            </w:r>
          </w:p>
          <w:p w14:paraId="4F7178F7">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被市场监督管理部门列入严重违法失信名单的</w:t>
            </w:r>
            <w:r>
              <w:rPr>
                <w:rFonts w:hint="eastAsia" w:ascii="宋体" w:hAnsi="宋体" w:cs="宋体"/>
                <w:sz w:val="24"/>
                <w:szCs w:val="24"/>
                <w:lang w:eastAsia="zh-CN"/>
              </w:rPr>
              <w:t>（</w:t>
            </w:r>
            <w:r>
              <w:rPr>
                <w:rFonts w:hint="eastAsia" w:ascii="宋体" w:hAnsi="宋体" w:cs="宋体"/>
                <w:sz w:val="24"/>
                <w:szCs w:val="24"/>
              </w:rPr>
              <w:t>以 www.gsxt.gov.cn查询为准</w:t>
            </w:r>
            <w:r>
              <w:rPr>
                <w:rFonts w:hint="eastAsia" w:ascii="宋体" w:hAnsi="宋体" w:cs="宋体"/>
                <w:sz w:val="24"/>
                <w:szCs w:val="24"/>
                <w:lang w:eastAsia="zh-CN"/>
              </w:rPr>
              <w:t>）</w:t>
            </w:r>
          </w:p>
          <w:p w14:paraId="1C532D8A">
            <w:pPr>
              <w:spacing w:line="400" w:lineRule="exact"/>
              <w:rPr>
                <w:rFonts w:ascii="宋体" w:hAnsi="宋体" w:cs="宋体"/>
                <w:sz w:val="24"/>
                <w:szCs w:val="24"/>
              </w:rPr>
            </w:pPr>
            <w:r>
              <w:rPr>
                <w:rFonts w:hint="eastAsia" w:ascii="宋体" w:hAnsi="宋体" w:cs="宋体"/>
                <w:sz w:val="24"/>
                <w:szCs w:val="24"/>
              </w:rPr>
              <w:t>2.供应商在响应文件中无需提供证明材料，由采购人查询供应商的信用记录，信用记录以投标截止时间 的记录信息为准。</w:t>
            </w:r>
          </w:p>
          <w:p w14:paraId="6B59BD49">
            <w:pPr>
              <w:spacing w:line="400" w:lineRule="exact"/>
              <w:rPr>
                <w:rFonts w:ascii="宋体" w:hAnsi="宋体" w:cs="宋体"/>
                <w:sz w:val="24"/>
                <w:szCs w:val="24"/>
              </w:rPr>
            </w:pPr>
            <w:r>
              <w:rPr>
                <w:rFonts w:hint="eastAsia" w:ascii="宋体" w:hAnsi="宋体" w:cs="宋体"/>
                <w:sz w:val="24"/>
                <w:szCs w:val="24"/>
              </w:rPr>
              <w:t>3.信用信息记录方式：采购人工作人员将查 询网页截图随其他采购资料一同存档备查。</w:t>
            </w:r>
          </w:p>
          <w:p w14:paraId="71CC3C90">
            <w:pPr>
              <w:spacing w:line="400" w:lineRule="exact"/>
              <w:rPr>
                <w:rFonts w:ascii="宋体" w:hAnsi="宋体" w:cs="宋体"/>
                <w:sz w:val="24"/>
                <w:szCs w:val="24"/>
              </w:rPr>
            </w:pPr>
            <w:r>
              <w:rPr>
                <w:rFonts w:hint="eastAsia" w:ascii="宋体" w:hAnsi="宋体" w:cs="宋体"/>
                <w:sz w:val="24"/>
                <w:szCs w:val="24"/>
              </w:rPr>
              <w:t>4.在上述规定的查询时间之外，网站信息发生的任何变更均 不作为资格审查依据。</w:t>
            </w:r>
          </w:p>
        </w:tc>
      </w:tr>
      <w:tr w14:paraId="3BF16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vAlign w:val="center"/>
          </w:tcPr>
          <w:p w14:paraId="078C5A67">
            <w:pPr>
              <w:spacing w:line="400" w:lineRule="exact"/>
              <w:jc w:val="center"/>
              <w:rPr>
                <w:rFonts w:ascii="宋体" w:hAnsi="宋体" w:cs="宋体"/>
                <w:sz w:val="24"/>
                <w:szCs w:val="24"/>
              </w:rPr>
            </w:pPr>
          </w:p>
        </w:tc>
        <w:tc>
          <w:tcPr>
            <w:tcW w:w="1441" w:type="dxa"/>
            <w:vAlign w:val="center"/>
          </w:tcPr>
          <w:p w14:paraId="7D922534">
            <w:pPr>
              <w:spacing w:line="400" w:lineRule="exact"/>
              <w:jc w:val="center"/>
              <w:rPr>
                <w:rFonts w:ascii="宋体" w:hAnsi="宋体" w:cs="宋体"/>
                <w:sz w:val="24"/>
                <w:szCs w:val="24"/>
              </w:rPr>
            </w:pPr>
            <w:r>
              <w:rPr>
                <w:rFonts w:hint="eastAsia" w:ascii="宋体" w:hAnsi="宋体" w:cs="宋体"/>
                <w:sz w:val="24"/>
                <w:szCs w:val="24"/>
              </w:rPr>
              <w:t>其他</w:t>
            </w:r>
          </w:p>
        </w:tc>
        <w:tc>
          <w:tcPr>
            <w:tcW w:w="6489" w:type="dxa"/>
            <w:vAlign w:val="center"/>
          </w:tcPr>
          <w:p w14:paraId="09BC74EB">
            <w:pPr>
              <w:spacing w:line="40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供应商被行政监督部门作出禁止响应处罚且在有效期内的，或其他违反法律法规和磋商文件规定的应该按无效响应处理的情形</w:t>
            </w:r>
          </w:p>
        </w:tc>
      </w:tr>
    </w:tbl>
    <w:p w14:paraId="577E46F9">
      <w:pPr>
        <w:pStyle w:val="3"/>
        <w:numPr>
          <w:ilvl w:val="1"/>
          <w:numId w:val="0"/>
        </w:numPr>
        <w:bidi w:val="0"/>
      </w:pPr>
      <w:r>
        <w:rPr>
          <w:rFonts w:hint="eastAsia"/>
        </w:rPr>
        <w:t>（二）综合评审</w:t>
      </w:r>
    </w:p>
    <w:p w14:paraId="7971429E">
      <w:pPr>
        <w:spacing w:line="520" w:lineRule="exact"/>
        <w:ind w:firstLine="472" w:firstLineChars="200"/>
        <w:jc w:val="left"/>
        <w:rPr>
          <w:rFonts w:ascii="宋体" w:hAnsi="宋体" w:cs="宋体"/>
          <w:sz w:val="24"/>
          <w:szCs w:val="24"/>
        </w:rPr>
      </w:pPr>
      <w:r>
        <w:rPr>
          <w:rFonts w:hint="eastAsia" w:ascii="宋体" w:hAnsi="宋体" w:cs="宋体"/>
          <w:spacing w:val="-2"/>
          <w:sz w:val="24"/>
          <w:szCs w:val="24"/>
        </w:rPr>
        <w:t>由磋商小组根据磋商文件规定的评审程序、评审方法和评审标准进行评审。</w:t>
      </w:r>
    </w:p>
    <w:p w14:paraId="4932D82A">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1、本次磋商采用百分制评分法，商务（报价）权重</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rPr>
        <w:t>%，经评审满足磋商文件要求且最后报价最低的供应商的价格为磋商基准价，其价格为满分，得</w:t>
      </w:r>
      <w:r>
        <w:rPr>
          <w:rFonts w:hint="eastAsia" w:ascii="宋体" w:hAnsi="宋体" w:eastAsia="宋体" w:cs="宋体"/>
          <w:sz w:val="24"/>
          <w:szCs w:val="24"/>
          <w:u w:val="single"/>
          <w:lang w:val="en-US" w:eastAsia="zh-CN"/>
        </w:rPr>
        <w:t xml:space="preserve"> 10 </w:t>
      </w:r>
      <w:r>
        <w:rPr>
          <w:rFonts w:hint="eastAsia" w:ascii="宋体" w:hAnsi="宋体" w:eastAsia="宋体" w:cs="宋体"/>
          <w:sz w:val="24"/>
          <w:szCs w:val="24"/>
        </w:rPr>
        <w:t>分。其他供应商的价格分统一按照下列公式计算：</w:t>
      </w:r>
    </w:p>
    <w:p w14:paraId="42D9992B">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10</w:t>
      </w:r>
      <w:r>
        <w:rPr>
          <w:rFonts w:hint="eastAsia" w:ascii="宋体" w:hAnsi="宋体" w:eastAsia="宋体" w:cs="宋体"/>
          <w:sz w:val="24"/>
          <w:szCs w:val="24"/>
          <w:u w:val="single"/>
        </w:rPr>
        <w:t xml:space="preserve"> </w:t>
      </w:r>
      <w:r>
        <w:rPr>
          <w:rFonts w:hint="eastAsia" w:ascii="宋体" w:hAnsi="宋体" w:eastAsia="宋体" w:cs="宋体"/>
          <w:sz w:val="24"/>
          <w:szCs w:val="24"/>
        </w:rPr>
        <w:t>%×100。</w:t>
      </w:r>
    </w:p>
    <w:p w14:paraId="6A741182">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注：超过最高限价的最后磋商报价为无效报价，按废标处理。</w:t>
      </w:r>
    </w:p>
    <w:p w14:paraId="7C3074A0">
      <w:pPr>
        <w:pStyle w:val="12"/>
        <w:spacing w:line="520" w:lineRule="exact"/>
        <w:ind w:firstLine="480" w:firstLineChars="200"/>
        <w:rPr>
          <w:rFonts w:hint="eastAsia" w:ascii="黑体" w:hAnsi="黑体" w:eastAsia="黑体" w:cs="黑体"/>
          <w:color w:val="auto"/>
          <w:sz w:val="28"/>
          <w:szCs w:val="28"/>
        </w:rPr>
      </w:pPr>
      <w:r>
        <w:rPr>
          <w:rFonts w:hint="eastAsia" w:ascii="宋体" w:hAnsi="宋体" w:eastAsia="宋体" w:cs="宋体"/>
          <w:sz w:val="24"/>
          <w:szCs w:val="24"/>
        </w:rPr>
        <w:t>具体评分细则如下：</w:t>
      </w:r>
    </w:p>
    <w:tbl>
      <w:tblPr>
        <w:tblStyle w:val="35"/>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31"/>
        <w:gridCol w:w="1134"/>
        <w:gridCol w:w="6461"/>
        <w:gridCol w:w="861"/>
      </w:tblGrid>
      <w:tr w14:paraId="5FD2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031" w:type="dxa"/>
            <w:tcBorders>
              <w:top w:val="single" w:color="auto" w:sz="4" w:space="0"/>
              <w:left w:val="single" w:color="auto" w:sz="4" w:space="0"/>
              <w:bottom w:val="single" w:color="auto" w:sz="4" w:space="0"/>
              <w:right w:val="single" w:color="auto" w:sz="4" w:space="0"/>
            </w:tcBorders>
            <w:vAlign w:val="center"/>
          </w:tcPr>
          <w:p w14:paraId="5A988BF4">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134" w:type="dxa"/>
            <w:tcBorders>
              <w:top w:val="single" w:color="auto" w:sz="4" w:space="0"/>
              <w:left w:val="single" w:color="auto" w:sz="4" w:space="0"/>
              <w:bottom w:val="single" w:color="auto" w:sz="4" w:space="0"/>
              <w:right w:val="single" w:color="auto" w:sz="4" w:space="0"/>
            </w:tcBorders>
            <w:vAlign w:val="center"/>
          </w:tcPr>
          <w:p w14:paraId="5A96D46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6461" w:type="dxa"/>
            <w:tcBorders>
              <w:top w:val="single" w:color="auto" w:sz="4" w:space="0"/>
              <w:left w:val="single" w:color="auto" w:sz="4" w:space="0"/>
              <w:bottom w:val="single" w:color="auto" w:sz="4" w:space="0"/>
              <w:right w:val="single" w:color="auto" w:sz="4" w:space="0"/>
            </w:tcBorders>
            <w:vAlign w:val="center"/>
          </w:tcPr>
          <w:p w14:paraId="4D784CA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861" w:type="dxa"/>
            <w:tcBorders>
              <w:top w:val="single" w:color="auto" w:sz="4" w:space="0"/>
              <w:left w:val="single" w:color="auto" w:sz="4" w:space="0"/>
              <w:bottom w:val="single" w:color="auto" w:sz="4" w:space="0"/>
              <w:right w:val="single" w:color="auto" w:sz="4" w:space="0"/>
            </w:tcBorders>
            <w:vAlign w:val="center"/>
          </w:tcPr>
          <w:p w14:paraId="4BBAB02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73A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824" w:hRule="atLeast"/>
          <w:jc w:val="center"/>
        </w:trPr>
        <w:tc>
          <w:tcPr>
            <w:tcW w:w="1031" w:type="dxa"/>
            <w:vMerge w:val="restart"/>
            <w:tcBorders>
              <w:top w:val="single" w:color="auto" w:sz="4" w:space="0"/>
              <w:left w:val="single" w:color="auto" w:sz="4" w:space="0"/>
              <w:right w:val="single" w:color="auto" w:sz="4" w:space="0"/>
            </w:tcBorders>
            <w:vAlign w:val="center"/>
          </w:tcPr>
          <w:p w14:paraId="0339707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技术标（</w:t>
            </w:r>
            <w:r>
              <w:rPr>
                <w:rFonts w:hint="eastAsia" w:ascii="宋体" w:hAnsi="宋体" w:eastAsia="宋体" w:cs="宋体"/>
                <w:sz w:val="24"/>
                <w:szCs w:val="24"/>
                <w:lang w:val="en-US" w:eastAsia="zh-CN"/>
              </w:rPr>
              <w:t>9</w:t>
            </w:r>
            <w:r>
              <w:rPr>
                <w:rFonts w:hint="eastAsia" w:ascii="宋体" w:hAnsi="宋体" w:eastAsia="宋体" w:cs="宋体"/>
                <w:sz w:val="24"/>
                <w:szCs w:val="24"/>
                <w:lang w:val="zh-CN"/>
              </w:rPr>
              <w:t>0分）</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AB3BD8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sz w:val="24"/>
                <w:szCs w:val="24"/>
                <w:highlight w:val="none"/>
                <w:vertAlign w:val="baseline"/>
                <w:lang w:val="en-US" w:eastAsia="zh-CN"/>
              </w:rPr>
              <w:t>综合服务实力</w:t>
            </w:r>
          </w:p>
        </w:tc>
        <w:tc>
          <w:tcPr>
            <w:tcW w:w="6461" w:type="dxa"/>
            <w:tcBorders>
              <w:top w:val="single" w:color="auto" w:sz="4" w:space="0"/>
              <w:left w:val="single" w:color="auto" w:sz="4" w:space="0"/>
              <w:bottom w:val="single" w:color="auto" w:sz="4" w:space="0"/>
              <w:right w:val="single" w:color="auto" w:sz="4" w:space="0"/>
            </w:tcBorders>
            <w:shd w:val="clear" w:color="auto" w:fill="auto"/>
            <w:vAlign w:val="center"/>
          </w:tcPr>
          <w:p w14:paraId="4B143B34">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供应商</w:t>
            </w:r>
            <w:r>
              <w:rPr>
                <w:rFonts w:hint="eastAsia" w:ascii="宋体" w:hAnsi="宋体" w:eastAsia="宋体" w:cs="宋体"/>
                <w:sz w:val="24"/>
                <w:szCs w:val="24"/>
                <w:highlight w:val="none"/>
                <w:vertAlign w:val="baseline"/>
              </w:rPr>
              <w:t>具</w:t>
            </w:r>
            <w:r>
              <w:rPr>
                <w:rFonts w:hint="eastAsia" w:ascii="宋体" w:hAnsi="宋体" w:eastAsia="宋体" w:cs="宋体"/>
                <w:sz w:val="24"/>
                <w:szCs w:val="24"/>
                <w:highlight w:val="none"/>
                <w:vertAlign w:val="baseline"/>
                <w:lang w:val="en-US" w:eastAsia="zh-CN"/>
              </w:rPr>
              <w:t>备</w:t>
            </w:r>
            <w:r>
              <w:rPr>
                <w:rFonts w:hint="eastAsia" w:ascii="宋体" w:hAnsi="宋体" w:eastAsia="宋体" w:cs="宋体"/>
                <w:sz w:val="24"/>
                <w:szCs w:val="24"/>
                <w:highlight w:val="none"/>
                <w:vertAlign w:val="baseline"/>
              </w:rPr>
              <w:t>有效的下列证书，每提供一个</w:t>
            </w:r>
            <w:r>
              <w:rPr>
                <w:rFonts w:hint="eastAsia" w:ascii="宋体" w:hAnsi="宋体" w:eastAsia="宋体" w:cs="宋体"/>
                <w:sz w:val="24"/>
                <w:szCs w:val="24"/>
                <w:highlight w:val="none"/>
                <w:vertAlign w:val="baseline"/>
                <w:lang w:val="en-US" w:eastAsia="zh-CN"/>
              </w:rPr>
              <w:t>5</w:t>
            </w:r>
            <w:r>
              <w:rPr>
                <w:rFonts w:hint="eastAsia" w:ascii="宋体" w:hAnsi="宋体" w:eastAsia="宋体" w:cs="宋体"/>
                <w:sz w:val="24"/>
                <w:szCs w:val="24"/>
                <w:highlight w:val="none"/>
                <w:vertAlign w:val="baseline"/>
              </w:rPr>
              <w:t>分，满分</w:t>
            </w:r>
            <w:r>
              <w:rPr>
                <w:rFonts w:hint="eastAsia" w:ascii="宋体" w:hAnsi="宋体" w:eastAsia="宋体" w:cs="宋体"/>
                <w:sz w:val="24"/>
                <w:szCs w:val="24"/>
                <w:highlight w:val="none"/>
                <w:vertAlign w:val="baseline"/>
                <w:lang w:val="en-US" w:eastAsia="zh-CN"/>
              </w:rPr>
              <w:t>20</w:t>
            </w:r>
            <w:r>
              <w:rPr>
                <w:rFonts w:hint="eastAsia" w:ascii="宋体" w:hAnsi="宋体" w:eastAsia="宋体" w:cs="宋体"/>
                <w:sz w:val="24"/>
                <w:szCs w:val="24"/>
                <w:highlight w:val="none"/>
                <w:vertAlign w:val="baseline"/>
              </w:rPr>
              <w:t>分。</w:t>
            </w:r>
          </w:p>
          <w:p w14:paraId="39E62D19">
            <w:pP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1、ISO9001质量管理体系认证证书；</w:t>
            </w:r>
          </w:p>
          <w:p w14:paraId="0FC8E248">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2</w:t>
            </w:r>
            <w:r>
              <w:rPr>
                <w:rFonts w:hint="eastAsia" w:ascii="宋体" w:hAnsi="宋体" w:eastAsia="宋体" w:cs="宋体"/>
                <w:color w:val="auto"/>
                <w:sz w:val="24"/>
                <w:szCs w:val="24"/>
                <w:highlight w:val="none"/>
                <w:vertAlign w:val="baseline"/>
              </w:rPr>
              <w:t>、ISO</w:t>
            </w:r>
            <w:r>
              <w:rPr>
                <w:rFonts w:hint="eastAsia" w:ascii="宋体" w:hAnsi="宋体" w:eastAsia="宋体" w:cs="宋体"/>
                <w:color w:val="auto"/>
                <w:sz w:val="24"/>
                <w:szCs w:val="24"/>
                <w:highlight w:val="none"/>
                <w:vertAlign w:val="baseline"/>
                <w:lang w:val="en-US" w:eastAsia="zh-CN"/>
              </w:rPr>
              <w:t>14</w:t>
            </w:r>
            <w:r>
              <w:rPr>
                <w:rFonts w:hint="eastAsia" w:ascii="宋体" w:hAnsi="宋体" w:eastAsia="宋体" w:cs="宋体"/>
                <w:color w:val="auto"/>
                <w:sz w:val="24"/>
                <w:szCs w:val="24"/>
                <w:highlight w:val="none"/>
                <w:vertAlign w:val="baseline"/>
              </w:rPr>
              <w:t>001</w:t>
            </w:r>
            <w:r>
              <w:rPr>
                <w:rFonts w:hint="eastAsia" w:ascii="宋体" w:hAnsi="宋体" w:eastAsia="宋体" w:cs="宋体"/>
                <w:color w:val="auto"/>
                <w:sz w:val="24"/>
                <w:szCs w:val="24"/>
                <w:highlight w:val="none"/>
                <w:vertAlign w:val="baseline"/>
                <w:lang w:val="en-US" w:eastAsia="zh-CN"/>
              </w:rPr>
              <w:t>环境</w:t>
            </w:r>
            <w:r>
              <w:rPr>
                <w:rFonts w:hint="eastAsia" w:ascii="宋体" w:hAnsi="宋体" w:eastAsia="宋体" w:cs="宋体"/>
                <w:color w:val="auto"/>
                <w:sz w:val="24"/>
                <w:szCs w:val="24"/>
                <w:highlight w:val="none"/>
                <w:vertAlign w:val="baseline"/>
              </w:rPr>
              <w:t>管理体系认证证书；</w:t>
            </w:r>
          </w:p>
          <w:p w14:paraId="07BDFA62">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3</w:t>
            </w:r>
            <w:r>
              <w:rPr>
                <w:rFonts w:hint="eastAsia" w:ascii="宋体" w:hAnsi="宋体" w:eastAsia="宋体" w:cs="宋体"/>
                <w:color w:val="auto"/>
                <w:sz w:val="24"/>
                <w:szCs w:val="24"/>
                <w:highlight w:val="none"/>
                <w:vertAlign w:val="baseline"/>
              </w:rPr>
              <w:t>、ISO22301业务连续性管理体系认证证书；</w:t>
            </w:r>
          </w:p>
          <w:p w14:paraId="7833514A">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rPr>
              <w:t>、ISO20000信息技术服务管理体系认证证书；</w:t>
            </w:r>
          </w:p>
          <w:p w14:paraId="1AA77FE5">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注：</w:t>
            </w:r>
            <w:r>
              <w:rPr>
                <w:rFonts w:hint="eastAsia" w:ascii="宋体" w:hAnsi="宋体" w:eastAsia="宋体" w:cs="宋体"/>
                <w:color w:val="auto"/>
                <w:sz w:val="24"/>
                <w:szCs w:val="24"/>
                <w:highlight w:val="none"/>
                <w:vertAlign w:val="baseline"/>
              </w:rPr>
              <w:t>提供上述</w:t>
            </w:r>
            <w:r>
              <w:rPr>
                <w:rFonts w:hint="eastAsia" w:ascii="宋体" w:hAnsi="宋体" w:eastAsia="宋体" w:cs="宋体"/>
                <w:color w:val="auto"/>
                <w:sz w:val="24"/>
                <w:szCs w:val="24"/>
                <w:highlight w:val="none"/>
                <w:vertAlign w:val="baseline"/>
                <w:lang w:val="en-US" w:eastAsia="zh-CN"/>
              </w:rPr>
              <w:t>认证</w:t>
            </w:r>
            <w:r>
              <w:rPr>
                <w:rFonts w:hint="eastAsia" w:ascii="宋体" w:hAnsi="宋体" w:eastAsia="宋体" w:cs="宋体"/>
                <w:color w:val="auto"/>
                <w:sz w:val="24"/>
                <w:szCs w:val="24"/>
                <w:highlight w:val="none"/>
                <w:vertAlign w:val="baseline"/>
              </w:rPr>
              <w:t>证书扫描件且提供官方渠道证书查询链接，未提供或提供不全的不得分。</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FA051E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kern w:val="2"/>
                <w:sz w:val="24"/>
                <w:szCs w:val="24"/>
                <w:highlight w:val="none"/>
                <w:lang w:val="en-US" w:eastAsia="zh-CN" w:bidi="ar-SA"/>
              </w:rPr>
            </w:pPr>
            <w:r>
              <w:rPr>
                <w:rFonts w:hint="eastAsia" w:ascii="宋体" w:hAnsi="宋体" w:eastAsia="宋体" w:cs="宋体"/>
                <w:sz w:val="24"/>
                <w:szCs w:val="24"/>
                <w:highlight w:val="none"/>
                <w:vertAlign w:val="baseline"/>
                <w:lang w:val="en-US" w:eastAsia="zh-CN"/>
              </w:rPr>
              <w:t>0-20分</w:t>
            </w:r>
          </w:p>
        </w:tc>
      </w:tr>
      <w:tr w14:paraId="2975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1" w:hRule="atLeast"/>
          <w:jc w:val="center"/>
        </w:trPr>
        <w:tc>
          <w:tcPr>
            <w:tcW w:w="1031" w:type="dxa"/>
            <w:vMerge w:val="continue"/>
            <w:tcBorders>
              <w:left w:val="single" w:color="auto" w:sz="4" w:space="0"/>
              <w:right w:val="single" w:color="auto" w:sz="4" w:space="0"/>
            </w:tcBorders>
            <w:vAlign w:val="center"/>
          </w:tcPr>
          <w:p w14:paraId="180224D3">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230B530">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类似业绩</w:t>
            </w:r>
          </w:p>
        </w:tc>
        <w:tc>
          <w:tcPr>
            <w:tcW w:w="6461" w:type="dxa"/>
            <w:tcBorders>
              <w:top w:val="single" w:color="auto" w:sz="4" w:space="0"/>
              <w:left w:val="single" w:color="auto" w:sz="4" w:space="0"/>
              <w:bottom w:val="single" w:color="auto" w:sz="4" w:space="0"/>
              <w:right w:val="single" w:color="auto" w:sz="4" w:space="0"/>
            </w:tcBorders>
          </w:tcPr>
          <w:p w14:paraId="29BFDFA3">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供应商或所投药品耗材追溯码管理系统软件厂家具有类似项目(追溯码系统类)业绩，每提供1个得1.5分，满分9分。</w:t>
            </w:r>
          </w:p>
          <w:p w14:paraId="53A24860">
            <w:pPr>
              <w:keepNext w:val="0"/>
              <w:keepLines w:val="0"/>
              <w:pageBreakBefore w:val="0"/>
              <w:widowControl w:val="0"/>
              <w:shd w:val="clear" w:color="auto" w:fill="auto"/>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rPr>
              <w:t>注：</w:t>
            </w:r>
            <w:r>
              <w:rPr>
                <w:rFonts w:hint="eastAsia" w:ascii="宋体" w:hAnsi="宋体" w:eastAsia="宋体" w:cs="宋体"/>
                <w:color w:val="auto"/>
                <w:sz w:val="24"/>
                <w:szCs w:val="24"/>
                <w:highlight w:val="none"/>
                <w:vertAlign w:val="baseline"/>
                <w:lang w:val="en-US" w:eastAsia="zh-CN"/>
              </w:rPr>
              <w:t>响应文件中提供合同扫描件或中标通知书。</w:t>
            </w:r>
          </w:p>
        </w:tc>
        <w:tc>
          <w:tcPr>
            <w:tcW w:w="861" w:type="dxa"/>
            <w:tcBorders>
              <w:top w:val="single" w:color="auto" w:sz="4" w:space="0"/>
              <w:left w:val="single" w:color="auto" w:sz="4" w:space="0"/>
              <w:bottom w:val="single" w:color="auto" w:sz="4" w:space="0"/>
              <w:right w:val="single" w:color="auto" w:sz="4" w:space="0"/>
            </w:tcBorders>
            <w:vAlign w:val="center"/>
          </w:tcPr>
          <w:p w14:paraId="3FAFD4C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kern w:val="1"/>
                <w:sz w:val="24"/>
                <w:szCs w:val="24"/>
                <w:lang w:val="en-US" w:eastAsia="zh-CN"/>
              </w:rPr>
            </w:pPr>
            <w:r>
              <w:rPr>
                <w:rFonts w:hint="eastAsia" w:ascii="宋体" w:hAnsi="宋体" w:eastAsia="宋体" w:cs="宋体"/>
                <w:kern w:val="1"/>
                <w:sz w:val="24"/>
                <w:szCs w:val="24"/>
                <w:lang w:val="en-US" w:eastAsia="zh-CN"/>
              </w:rPr>
              <w:t>0-9</w:t>
            </w:r>
          </w:p>
        </w:tc>
      </w:tr>
      <w:tr w14:paraId="43A8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031" w:type="dxa"/>
            <w:vMerge w:val="continue"/>
            <w:tcBorders>
              <w:left w:val="single" w:color="auto" w:sz="4" w:space="0"/>
              <w:right w:val="single" w:color="auto" w:sz="4" w:space="0"/>
            </w:tcBorders>
            <w:vAlign w:val="center"/>
          </w:tcPr>
          <w:p w14:paraId="5E596DB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top w:val="single" w:color="auto" w:sz="4" w:space="0"/>
              <w:left w:val="single" w:color="auto" w:sz="4" w:space="0"/>
              <w:right w:val="single" w:color="auto" w:sz="4" w:space="0"/>
            </w:tcBorders>
            <w:vAlign w:val="center"/>
          </w:tcPr>
          <w:p w14:paraId="437D7708">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技术参数</w:t>
            </w:r>
          </w:p>
        </w:tc>
        <w:tc>
          <w:tcPr>
            <w:tcW w:w="6461" w:type="dxa"/>
            <w:tcBorders>
              <w:top w:val="single" w:color="auto" w:sz="4" w:space="0"/>
              <w:left w:val="single" w:color="auto" w:sz="4" w:space="0"/>
              <w:right w:val="single" w:color="auto" w:sz="4" w:space="0"/>
            </w:tcBorders>
            <w:vAlign w:val="center"/>
          </w:tcPr>
          <w:p w14:paraId="6E0FAB38">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技术要求中标★项为评分项，每有一项满足的得3分，本项满分得30分。</w:t>
            </w:r>
          </w:p>
          <w:p w14:paraId="4434D419">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注：标★参数响应文件中须提供有效证明材料或系统功能截图，未提供不得分。</w:t>
            </w:r>
          </w:p>
        </w:tc>
        <w:tc>
          <w:tcPr>
            <w:tcW w:w="861" w:type="dxa"/>
            <w:tcBorders>
              <w:top w:val="single" w:color="auto" w:sz="4" w:space="0"/>
              <w:left w:val="single" w:color="auto" w:sz="4" w:space="0"/>
              <w:right w:val="single" w:color="auto" w:sz="4" w:space="0"/>
            </w:tcBorders>
            <w:vAlign w:val="center"/>
          </w:tcPr>
          <w:p w14:paraId="4FDECB7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0-30</w:t>
            </w:r>
          </w:p>
        </w:tc>
      </w:tr>
      <w:tr w14:paraId="506B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031" w:type="dxa"/>
            <w:vMerge w:val="continue"/>
            <w:tcBorders>
              <w:left w:val="single" w:color="auto" w:sz="4" w:space="0"/>
              <w:right w:val="single" w:color="auto" w:sz="4" w:space="0"/>
            </w:tcBorders>
            <w:vAlign w:val="center"/>
          </w:tcPr>
          <w:p w14:paraId="642062C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top w:val="single" w:color="auto" w:sz="4" w:space="0"/>
              <w:left w:val="single" w:color="auto" w:sz="4" w:space="0"/>
              <w:right w:val="single" w:color="auto" w:sz="4" w:space="0"/>
            </w:tcBorders>
            <w:vAlign w:val="center"/>
          </w:tcPr>
          <w:p w14:paraId="074078AE">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color w:val="auto"/>
                <w:sz w:val="24"/>
                <w:szCs w:val="24"/>
                <w:highlight w:val="none"/>
                <w:vertAlign w:val="baseline"/>
                <w:lang w:val="en-US" w:eastAsia="zh-CN"/>
              </w:rPr>
              <w:t>项目管理人员</w:t>
            </w:r>
          </w:p>
        </w:tc>
        <w:tc>
          <w:tcPr>
            <w:tcW w:w="6461" w:type="dxa"/>
            <w:tcBorders>
              <w:top w:val="single" w:color="auto" w:sz="4" w:space="0"/>
              <w:left w:val="single" w:color="auto" w:sz="4" w:space="0"/>
              <w:right w:val="single" w:color="auto" w:sz="4" w:space="0"/>
            </w:tcBorders>
            <w:vAlign w:val="center"/>
          </w:tcPr>
          <w:p w14:paraId="33F3D83E">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供应商为本项目提供1名项目管理人员。</w:t>
            </w:r>
          </w:p>
          <w:p w14:paraId="26B5B1A6">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1、项目管理人员具备PMP证书或信息系统项目管理师证书，得5分，满分5分。</w:t>
            </w:r>
            <w:r>
              <w:rPr>
                <w:rFonts w:hint="eastAsia" w:ascii="宋体" w:hAnsi="宋体" w:eastAsia="宋体" w:cs="宋体"/>
                <w:spacing w:val="-9"/>
                <w:sz w:val="24"/>
                <w:szCs w:val="24"/>
                <w:lang w:val="en-US" w:eastAsia="zh-CN"/>
              </w:rPr>
              <w:br w:type="textWrapping"/>
            </w:r>
            <w:r>
              <w:rPr>
                <w:rFonts w:hint="eastAsia" w:ascii="宋体" w:hAnsi="宋体" w:eastAsia="宋体" w:cs="宋体"/>
                <w:spacing w:val="-9"/>
                <w:sz w:val="24"/>
                <w:szCs w:val="24"/>
                <w:lang w:val="en-US" w:eastAsia="zh-CN"/>
              </w:rPr>
              <w:t>注：需提供相关人员证书复印件、身份证复印件(正反面)、响应文件中提供响应截止时间日所属月份（含）过去 6 个月以内任意 1 个月的社保证明材料，退休人员应提供供应商缴纳的意外伤害保险投保缴费材料、退休证明及身份证。未提供不得分。</w:t>
            </w:r>
          </w:p>
        </w:tc>
        <w:tc>
          <w:tcPr>
            <w:tcW w:w="861" w:type="dxa"/>
            <w:tcBorders>
              <w:top w:val="single" w:color="auto" w:sz="4" w:space="0"/>
              <w:left w:val="single" w:color="auto" w:sz="4" w:space="0"/>
              <w:right w:val="single" w:color="auto" w:sz="4" w:space="0"/>
            </w:tcBorders>
            <w:vAlign w:val="center"/>
          </w:tcPr>
          <w:p w14:paraId="680B13F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w:t>
            </w:r>
          </w:p>
        </w:tc>
      </w:tr>
      <w:tr w14:paraId="0489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031" w:type="dxa"/>
            <w:vMerge w:val="continue"/>
            <w:tcBorders>
              <w:left w:val="single" w:color="auto" w:sz="4" w:space="0"/>
              <w:right w:val="single" w:color="auto" w:sz="4" w:space="0"/>
            </w:tcBorders>
            <w:vAlign w:val="center"/>
          </w:tcPr>
          <w:p w14:paraId="449C17AB">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top w:val="single" w:color="auto" w:sz="4" w:space="0"/>
              <w:left w:val="single" w:color="auto" w:sz="4" w:space="0"/>
              <w:right w:val="single" w:color="auto" w:sz="4" w:space="0"/>
            </w:tcBorders>
            <w:vAlign w:val="center"/>
          </w:tcPr>
          <w:p w14:paraId="2C58B8E0">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color w:val="auto"/>
                <w:sz w:val="24"/>
                <w:szCs w:val="24"/>
                <w:highlight w:val="none"/>
                <w:vertAlign w:val="baseline"/>
                <w:lang w:val="en-US" w:eastAsia="zh-CN"/>
              </w:rPr>
              <w:t>项目技术人员</w:t>
            </w:r>
          </w:p>
        </w:tc>
        <w:tc>
          <w:tcPr>
            <w:tcW w:w="6461" w:type="dxa"/>
            <w:tcBorders>
              <w:top w:val="single" w:color="auto" w:sz="4" w:space="0"/>
              <w:left w:val="single" w:color="auto" w:sz="4" w:space="0"/>
              <w:right w:val="single" w:color="auto" w:sz="4" w:space="0"/>
            </w:tcBorders>
            <w:shd w:val="clear" w:color="auto" w:fill="auto"/>
            <w:vAlign w:val="center"/>
          </w:tcPr>
          <w:p w14:paraId="4D84AC9D">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供应商为本项目配备的主要技术人员资质要求如下（不包含项目管理人员）具有以下证书，</w:t>
            </w:r>
            <w:r>
              <w:rPr>
                <w:rFonts w:hint="eastAsia" w:ascii="宋体" w:hAnsi="宋体" w:eastAsia="宋体" w:cs="宋体"/>
                <w:color w:val="auto"/>
                <w:sz w:val="24"/>
                <w:szCs w:val="24"/>
                <w:highlight w:val="none"/>
                <w:vertAlign w:val="baseline"/>
                <w:lang w:val="en-US" w:eastAsia="zh-CN"/>
              </w:rPr>
              <w:t>每提供1个得3分，</w:t>
            </w:r>
            <w:r>
              <w:rPr>
                <w:rFonts w:hint="eastAsia" w:ascii="宋体" w:hAnsi="宋体" w:eastAsia="宋体" w:cs="宋体"/>
                <w:color w:val="auto"/>
                <w:sz w:val="24"/>
                <w:szCs w:val="24"/>
                <w:highlight w:val="none"/>
                <w:vertAlign w:val="baseline"/>
              </w:rPr>
              <w:t>满分</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rPr>
              <w:t>分。</w:t>
            </w:r>
          </w:p>
          <w:p w14:paraId="15F21F3C">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1、具有注册信息安全专业人员（CISP）证书，得3分；</w:t>
            </w:r>
          </w:p>
          <w:p w14:paraId="062C6A9E">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2、具有中国网络安全审查技术与认证中心颁发的CISAW信息安全保障人员认证证书（安全软件（专业级）），得3分；</w:t>
            </w:r>
          </w:p>
          <w:p w14:paraId="77717B8B">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注：</w:t>
            </w:r>
          </w:p>
          <w:p w14:paraId="7432635B">
            <w:pPr>
              <w:keepNext w:val="0"/>
              <w:keepLines w:val="0"/>
              <w:pageBreakBefore w:val="0"/>
              <w:widowControl/>
              <w:numPr>
                <w:ilvl w:val="0"/>
                <w:numId w:val="0"/>
              </w:numPr>
              <w:kinsoku/>
              <w:wordWrap/>
              <w:overflowPunct/>
              <w:topLinePunct w:val="0"/>
              <w:autoSpaceDE/>
              <w:autoSpaceDN/>
              <w:bidi w:val="0"/>
              <w:spacing w:line="360" w:lineRule="auto"/>
              <w:jc w:val="left"/>
              <w:textAlignment w:val="auto"/>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①以上人员需提供相关人员证书复印件、身份证复印件(正反面)、响应文件中提供响应截止时间日所属月份（含）过去 6 个月以内任意 1 个月的社保证明材料，退休人员应提供供应商缴纳的意外伤害保险投保缴费材料、退休证明及身份证。未提供不得分。</w:t>
            </w:r>
          </w:p>
          <w:p w14:paraId="434F5F93">
            <w:pPr>
              <w:keepNext w:val="0"/>
              <w:keepLines w:val="0"/>
              <w:pageBreakBefore w:val="0"/>
              <w:widowControl/>
              <w:numPr>
                <w:ilvl w:val="0"/>
                <w:numId w:val="0"/>
              </w:numPr>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spacing w:val="-9"/>
                <w:kern w:val="2"/>
                <w:sz w:val="24"/>
                <w:szCs w:val="24"/>
                <w:lang w:val="en-US" w:eastAsia="zh-CN" w:bidi="ar-SA"/>
              </w:rPr>
            </w:pPr>
            <w:r>
              <w:rPr>
                <w:rFonts w:hint="eastAsia" w:ascii="宋体" w:hAnsi="宋体" w:eastAsia="宋体" w:cs="宋体"/>
                <w:spacing w:val="-9"/>
                <w:sz w:val="24"/>
                <w:szCs w:val="24"/>
                <w:lang w:val="en-US" w:eastAsia="zh-CN"/>
              </w:rPr>
              <w:t>②如一人有多个认证，只算一个认证。</w:t>
            </w:r>
          </w:p>
        </w:tc>
        <w:tc>
          <w:tcPr>
            <w:tcW w:w="861" w:type="dxa"/>
            <w:tcBorders>
              <w:top w:val="single" w:color="auto" w:sz="4" w:space="0"/>
              <w:left w:val="single" w:color="auto" w:sz="4" w:space="0"/>
              <w:right w:val="single" w:color="auto" w:sz="4" w:space="0"/>
            </w:tcBorders>
            <w:shd w:val="clear" w:color="auto" w:fill="auto"/>
            <w:vAlign w:val="center"/>
          </w:tcPr>
          <w:p w14:paraId="64AE333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0-6</w:t>
            </w:r>
          </w:p>
        </w:tc>
      </w:tr>
      <w:tr w14:paraId="4E8F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031" w:type="dxa"/>
            <w:vMerge w:val="continue"/>
            <w:tcBorders>
              <w:left w:val="single" w:color="auto" w:sz="4" w:space="0"/>
              <w:right w:val="single" w:color="auto" w:sz="4" w:space="0"/>
            </w:tcBorders>
            <w:vAlign w:val="center"/>
          </w:tcPr>
          <w:p w14:paraId="369DE026">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left w:val="single" w:color="auto" w:sz="4" w:space="0"/>
              <w:right w:val="single" w:color="auto" w:sz="4" w:space="0"/>
            </w:tcBorders>
            <w:vAlign w:val="center"/>
          </w:tcPr>
          <w:p w14:paraId="00DF9C40">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color w:val="auto"/>
                <w:sz w:val="24"/>
                <w:szCs w:val="24"/>
                <w:highlight w:val="none"/>
                <w:vertAlign w:val="baseline"/>
                <w:lang w:val="en-US" w:eastAsia="zh-CN"/>
              </w:rPr>
              <w:t>项目管理方案</w:t>
            </w:r>
          </w:p>
        </w:tc>
        <w:tc>
          <w:tcPr>
            <w:tcW w:w="6461" w:type="dxa"/>
            <w:tcBorders>
              <w:top w:val="single" w:color="auto" w:sz="4" w:space="0"/>
              <w:left w:val="single" w:color="auto" w:sz="4" w:space="0"/>
              <w:bottom w:val="single" w:color="auto" w:sz="4" w:space="0"/>
              <w:right w:val="single" w:color="auto" w:sz="4" w:space="0"/>
            </w:tcBorders>
            <w:vAlign w:val="center"/>
          </w:tcPr>
          <w:p w14:paraId="4949076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供应商针对本项目理解,根据项目实际需求，提供符合本项目的</w:t>
            </w:r>
            <w:r>
              <w:rPr>
                <w:rFonts w:hint="eastAsia" w:ascii="宋体" w:hAnsi="宋体" w:eastAsia="宋体" w:cs="宋体"/>
                <w:color w:val="auto"/>
                <w:sz w:val="24"/>
                <w:szCs w:val="24"/>
                <w:highlight w:val="none"/>
                <w:vertAlign w:val="baseline"/>
                <w:lang w:val="en-US" w:eastAsia="zh-CN"/>
              </w:rPr>
              <w:t>项目管理方案</w:t>
            </w:r>
            <w:r>
              <w:rPr>
                <w:rFonts w:hint="eastAsia" w:ascii="宋体" w:hAnsi="宋体" w:eastAsia="宋体" w:cs="宋体"/>
                <w:color w:val="000000"/>
                <w:sz w:val="24"/>
                <w:szCs w:val="24"/>
                <w:lang w:val="en-US" w:eastAsia="zh-CN"/>
              </w:rPr>
              <w:t>，内容包括但不限于：</w:t>
            </w:r>
          </w:p>
          <w:p w14:paraId="6D7F900E">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①项目人员管理；</w:t>
            </w:r>
          </w:p>
          <w:p w14:paraId="6F4E875F">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②项目进度管理；</w:t>
            </w:r>
          </w:p>
          <w:p w14:paraId="4AF0F412">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③项目风险管理。</w:t>
            </w:r>
          </w:p>
          <w:p w14:paraId="7DF867D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磋商小组根据供应商提供的方案，进行综合评审：</w:t>
            </w:r>
          </w:p>
          <w:p w14:paraId="787ADA1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（1）对本项目特点和难点理解准确，方案中该项内容优于本项目采购需求，完整详细，可行性、实用性、针对性强，该项得5分；</w:t>
            </w:r>
          </w:p>
          <w:p w14:paraId="28AF7DDF">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（2）对本项目特点和难点理解基本准确，方案中该项内容适合本项目采购需求，完整详细，具有可行性、实用性和针对性，该项得3分；</w:t>
            </w:r>
          </w:p>
          <w:p w14:paraId="740242FC">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（3）对本项目特点和难点理解有待提升，方案中该项内容基本适合本项目采购需求，可行性、实用性、针对性有待改善，该项得1分；</w:t>
            </w:r>
          </w:p>
          <w:p w14:paraId="01DAE3F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（4）方案不可行或者未提供得0分。</w:t>
            </w:r>
          </w:p>
          <w:p w14:paraId="36B1A774">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本项最高得5分。</w:t>
            </w:r>
          </w:p>
        </w:tc>
        <w:tc>
          <w:tcPr>
            <w:tcW w:w="861" w:type="dxa"/>
            <w:tcBorders>
              <w:top w:val="single" w:color="auto" w:sz="4" w:space="0"/>
              <w:left w:val="single" w:color="auto" w:sz="4" w:space="0"/>
              <w:bottom w:val="single" w:color="auto" w:sz="4" w:space="0"/>
              <w:right w:val="single" w:color="auto" w:sz="4" w:space="0"/>
            </w:tcBorders>
            <w:vAlign w:val="center"/>
          </w:tcPr>
          <w:p w14:paraId="2CCC90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0-5</w:t>
            </w:r>
          </w:p>
        </w:tc>
      </w:tr>
      <w:tr w14:paraId="3666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031" w:type="dxa"/>
            <w:vMerge w:val="continue"/>
            <w:tcBorders>
              <w:left w:val="single" w:color="auto" w:sz="4" w:space="0"/>
              <w:right w:val="single" w:color="auto" w:sz="4" w:space="0"/>
            </w:tcBorders>
            <w:vAlign w:val="center"/>
          </w:tcPr>
          <w:p w14:paraId="7179228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left w:val="single" w:color="auto" w:sz="4" w:space="0"/>
              <w:right w:val="single" w:color="auto" w:sz="4" w:space="0"/>
            </w:tcBorders>
            <w:vAlign w:val="center"/>
          </w:tcPr>
          <w:p w14:paraId="1D0520F4">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b/>
                <w:bCs/>
                <w:color w:val="000000"/>
                <w:kern w:val="0"/>
                <w:sz w:val="24"/>
                <w:szCs w:val="24"/>
              </w:rPr>
            </w:pPr>
            <w:r>
              <w:rPr>
                <w:rFonts w:hint="eastAsia" w:ascii="宋体" w:hAnsi="宋体" w:eastAsia="宋体" w:cs="宋体"/>
                <w:b w:val="0"/>
                <w:bCs w:val="0"/>
                <w:color w:val="000000"/>
                <w:kern w:val="0"/>
                <w:sz w:val="24"/>
                <w:szCs w:val="24"/>
              </w:rPr>
              <w:t>技术培训方案</w:t>
            </w:r>
          </w:p>
        </w:tc>
        <w:tc>
          <w:tcPr>
            <w:tcW w:w="6461" w:type="dxa"/>
            <w:tcBorders>
              <w:top w:val="single" w:color="auto" w:sz="4" w:space="0"/>
              <w:left w:val="single" w:color="auto" w:sz="4" w:space="0"/>
              <w:bottom w:val="single" w:color="auto" w:sz="4" w:space="0"/>
              <w:right w:val="single" w:color="auto" w:sz="4" w:space="0"/>
            </w:tcBorders>
            <w:vAlign w:val="center"/>
          </w:tcPr>
          <w:p w14:paraId="4A8A878F">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供应商针对本项目理解,根据项目实际需求，提供符合本项目的技术培训方案，</w:t>
            </w:r>
            <w:r>
              <w:rPr>
                <w:rFonts w:hint="eastAsia" w:ascii="宋体" w:hAnsi="宋体" w:eastAsia="宋体" w:cs="宋体"/>
                <w:color w:val="000000"/>
                <w:sz w:val="24"/>
                <w:szCs w:val="24"/>
                <w:lang w:val="en-US" w:eastAsia="zh-CN"/>
              </w:rPr>
              <w:t>内容包括但不限于</w:t>
            </w:r>
            <w:r>
              <w:rPr>
                <w:rFonts w:hint="eastAsia" w:ascii="宋体" w:hAnsi="宋体" w:eastAsia="宋体" w:cs="宋体"/>
                <w:color w:val="000000"/>
                <w:kern w:val="0"/>
                <w:sz w:val="24"/>
                <w:szCs w:val="24"/>
              </w:rPr>
              <w:t>：</w:t>
            </w:r>
          </w:p>
          <w:p w14:paraId="31AE2869">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①培训</w:t>
            </w:r>
            <w:r>
              <w:rPr>
                <w:rFonts w:hint="eastAsia" w:ascii="宋体" w:hAnsi="宋体" w:eastAsia="宋体" w:cs="宋体"/>
                <w:color w:val="000000"/>
                <w:kern w:val="0"/>
                <w:sz w:val="24"/>
                <w:szCs w:val="24"/>
                <w:lang w:val="en-US" w:eastAsia="zh-CN"/>
              </w:rPr>
              <w:t>内容</w:t>
            </w:r>
            <w:r>
              <w:rPr>
                <w:rFonts w:hint="eastAsia" w:ascii="宋体" w:hAnsi="宋体" w:eastAsia="宋体" w:cs="宋体"/>
                <w:color w:val="000000"/>
                <w:kern w:val="0"/>
                <w:sz w:val="24"/>
                <w:szCs w:val="24"/>
              </w:rPr>
              <w:t>；</w:t>
            </w:r>
          </w:p>
          <w:p w14:paraId="16E5E11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②培训</w:t>
            </w:r>
            <w:r>
              <w:rPr>
                <w:rFonts w:hint="eastAsia" w:ascii="宋体" w:hAnsi="宋体" w:eastAsia="宋体" w:cs="宋体"/>
                <w:color w:val="000000"/>
                <w:kern w:val="0"/>
                <w:sz w:val="24"/>
                <w:szCs w:val="24"/>
                <w:lang w:val="en-US" w:eastAsia="zh-CN"/>
              </w:rPr>
              <w:t>目标</w:t>
            </w:r>
            <w:r>
              <w:rPr>
                <w:rFonts w:hint="eastAsia" w:ascii="宋体" w:hAnsi="宋体" w:eastAsia="宋体" w:cs="宋体"/>
                <w:color w:val="000000"/>
                <w:kern w:val="0"/>
                <w:sz w:val="24"/>
                <w:szCs w:val="24"/>
              </w:rPr>
              <w:t>；</w:t>
            </w:r>
          </w:p>
          <w:p w14:paraId="37066C50">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③培训时间及人员安排。</w:t>
            </w:r>
          </w:p>
          <w:p w14:paraId="0130902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磋商小组根据供应商提供的方案，进行综合评审：</w:t>
            </w:r>
          </w:p>
          <w:p w14:paraId="2A017A8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（1）对本项目特点和难点理解准确，方案中该项内容优于本项目采购需求，完整详细，可行性、实用性、针对性强，该项得5分；</w:t>
            </w:r>
          </w:p>
          <w:p w14:paraId="75B02E2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（2）对本项目特点和难点理解基本准确，方案中该项内容适合本项目采购需求，完整详细，具有可行性、实用性和针对性，该项得3分；</w:t>
            </w:r>
          </w:p>
          <w:p w14:paraId="78A42E7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（3）对本项目特点和难点理解有待提升，方案中该项内容基本适合本项目采购需求，可行性、实用性、针对性有待改善，该项得1分；</w:t>
            </w:r>
          </w:p>
          <w:p w14:paraId="166C007A">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（4）方案不可行或者未提供得0分。</w:t>
            </w:r>
          </w:p>
          <w:p w14:paraId="4594C0EC">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本项最高得5分。</w:t>
            </w:r>
          </w:p>
        </w:tc>
        <w:tc>
          <w:tcPr>
            <w:tcW w:w="861" w:type="dxa"/>
            <w:tcBorders>
              <w:top w:val="single" w:color="auto" w:sz="4" w:space="0"/>
              <w:left w:val="single" w:color="auto" w:sz="4" w:space="0"/>
              <w:bottom w:val="single" w:color="auto" w:sz="4" w:space="0"/>
              <w:right w:val="single" w:color="auto" w:sz="4" w:space="0"/>
            </w:tcBorders>
            <w:vAlign w:val="center"/>
          </w:tcPr>
          <w:p w14:paraId="1ED448B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w:t>
            </w:r>
          </w:p>
        </w:tc>
      </w:tr>
      <w:tr w14:paraId="0A5D6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210" w:hRule="atLeast"/>
          <w:jc w:val="center"/>
        </w:trPr>
        <w:tc>
          <w:tcPr>
            <w:tcW w:w="1031" w:type="dxa"/>
            <w:vMerge w:val="continue"/>
            <w:tcBorders>
              <w:left w:val="single" w:color="auto" w:sz="4" w:space="0"/>
              <w:right w:val="single" w:color="auto" w:sz="4" w:space="0"/>
            </w:tcBorders>
            <w:vAlign w:val="center"/>
          </w:tcPr>
          <w:p w14:paraId="7B85B92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left w:val="single" w:color="auto" w:sz="4" w:space="0"/>
              <w:right w:val="single" w:color="auto" w:sz="4" w:space="0"/>
            </w:tcBorders>
            <w:vAlign w:val="center"/>
          </w:tcPr>
          <w:p w14:paraId="12A8AED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售后服务方案</w:t>
            </w:r>
          </w:p>
        </w:tc>
        <w:tc>
          <w:tcPr>
            <w:tcW w:w="6461" w:type="dxa"/>
            <w:tcBorders>
              <w:top w:val="single" w:color="auto" w:sz="4" w:space="0"/>
              <w:left w:val="single" w:color="auto" w:sz="4" w:space="0"/>
              <w:bottom w:val="single" w:color="auto" w:sz="4" w:space="0"/>
              <w:right w:val="single" w:color="auto" w:sz="4" w:space="0"/>
            </w:tcBorders>
            <w:vAlign w:val="center"/>
          </w:tcPr>
          <w:p w14:paraId="6AE95D1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供应商针对本项目理解,根据项目实际需求，提供符合本项目的</w:t>
            </w:r>
            <w:r>
              <w:rPr>
                <w:rFonts w:hint="eastAsia" w:ascii="宋体" w:hAnsi="宋体" w:eastAsia="宋体" w:cs="宋体"/>
                <w:sz w:val="24"/>
                <w:szCs w:val="24"/>
                <w:lang w:val="en-US" w:eastAsia="zh-CN"/>
              </w:rPr>
              <w:t>售后服务方案</w:t>
            </w:r>
            <w:r>
              <w:rPr>
                <w:rFonts w:hint="eastAsia" w:ascii="宋体" w:hAnsi="宋体" w:eastAsia="宋体" w:cs="宋体"/>
                <w:color w:val="000000"/>
                <w:kern w:val="0"/>
                <w:sz w:val="24"/>
                <w:szCs w:val="24"/>
              </w:rPr>
              <w:t>方案，</w:t>
            </w:r>
            <w:r>
              <w:rPr>
                <w:rFonts w:hint="eastAsia" w:ascii="宋体" w:hAnsi="宋体" w:eastAsia="宋体" w:cs="宋体"/>
                <w:color w:val="000000"/>
                <w:sz w:val="24"/>
                <w:szCs w:val="24"/>
                <w:lang w:val="en-US" w:eastAsia="zh-CN"/>
              </w:rPr>
              <w:t>内容包括但不限于</w:t>
            </w:r>
            <w:r>
              <w:rPr>
                <w:rFonts w:hint="eastAsia" w:ascii="宋体" w:hAnsi="宋体" w:eastAsia="宋体" w:cs="宋体"/>
                <w:color w:val="000000"/>
                <w:kern w:val="0"/>
                <w:sz w:val="24"/>
                <w:szCs w:val="24"/>
              </w:rPr>
              <w:t>：</w:t>
            </w:r>
          </w:p>
          <w:p w14:paraId="71A8DDD3">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①</w:t>
            </w:r>
            <w:r>
              <w:rPr>
                <w:rFonts w:hint="eastAsia" w:ascii="宋体" w:hAnsi="宋体" w:eastAsia="宋体" w:cs="宋体"/>
                <w:color w:val="000000"/>
                <w:kern w:val="0"/>
                <w:sz w:val="24"/>
                <w:szCs w:val="24"/>
                <w:lang w:val="en-US" w:eastAsia="zh-CN"/>
              </w:rPr>
              <w:t>售后服务内容</w:t>
            </w:r>
            <w:r>
              <w:rPr>
                <w:rFonts w:hint="eastAsia" w:ascii="宋体" w:hAnsi="宋体" w:eastAsia="宋体" w:cs="宋体"/>
                <w:color w:val="000000"/>
                <w:kern w:val="0"/>
                <w:sz w:val="24"/>
                <w:szCs w:val="24"/>
              </w:rPr>
              <w:t>；</w:t>
            </w:r>
          </w:p>
          <w:p w14:paraId="0262FD9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②售后服务体系</w:t>
            </w:r>
            <w:r>
              <w:rPr>
                <w:rFonts w:hint="eastAsia" w:ascii="宋体" w:hAnsi="宋体" w:eastAsia="宋体" w:cs="宋体"/>
                <w:color w:val="000000"/>
                <w:kern w:val="0"/>
                <w:sz w:val="24"/>
                <w:szCs w:val="24"/>
                <w:lang w:eastAsia="zh-CN"/>
              </w:rPr>
              <w:t>；</w:t>
            </w:r>
          </w:p>
          <w:p w14:paraId="18DA4722">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③售后服务人员。</w:t>
            </w:r>
          </w:p>
          <w:p w14:paraId="0A441A5B">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磋商小组根据供应商提供的方案，进行综合评审：</w:t>
            </w:r>
          </w:p>
          <w:p w14:paraId="185DBBA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（1）对本项目特点和难点理解准确，方案中该项内容优于本项目采购需求，完整详细，可行性、实用性、针对性强，该项得5分；</w:t>
            </w:r>
          </w:p>
          <w:p w14:paraId="084743A4">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（2）对本项目特点和难点理解基本准确，方案中该项内容适合本项目采购需求，完整详细，具有可行性、实用性和针对性，该项得3分；</w:t>
            </w:r>
          </w:p>
          <w:p w14:paraId="6E6EEF0A">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（3）对本项目特点和难点理解有待提升，方案中该项内容基本适合本项目采购需求，可行性、实用性、针对性有待改善，该项得1分；</w:t>
            </w:r>
          </w:p>
          <w:p w14:paraId="738F93E9">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（4）方案不可行或者未提供得0分。</w:t>
            </w:r>
          </w:p>
          <w:p w14:paraId="1A42F3E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本项最高得5分。</w:t>
            </w:r>
          </w:p>
        </w:tc>
        <w:tc>
          <w:tcPr>
            <w:tcW w:w="861" w:type="dxa"/>
            <w:tcBorders>
              <w:top w:val="single" w:color="auto" w:sz="4" w:space="0"/>
              <w:left w:val="single" w:color="auto" w:sz="4" w:space="0"/>
              <w:bottom w:val="single" w:color="auto" w:sz="4" w:space="0"/>
              <w:right w:val="single" w:color="auto" w:sz="4" w:space="0"/>
            </w:tcBorders>
            <w:vAlign w:val="center"/>
          </w:tcPr>
          <w:p w14:paraId="520454E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w:t>
            </w:r>
          </w:p>
        </w:tc>
      </w:tr>
      <w:tr w14:paraId="0C6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210" w:hRule="atLeast"/>
          <w:jc w:val="center"/>
        </w:trPr>
        <w:tc>
          <w:tcPr>
            <w:tcW w:w="1031" w:type="dxa"/>
            <w:vMerge w:val="continue"/>
            <w:tcBorders>
              <w:left w:val="single" w:color="auto" w:sz="4" w:space="0"/>
              <w:right w:val="single" w:color="auto" w:sz="4" w:space="0"/>
            </w:tcBorders>
            <w:vAlign w:val="center"/>
          </w:tcPr>
          <w:p w14:paraId="572BFCD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134" w:type="dxa"/>
            <w:tcBorders>
              <w:left w:val="single" w:color="auto" w:sz="4" w:space="0"/>
              <w:right w:val="single" w:color="auto" w:sz="4" w:space="0"/>
            </w:tcBorders>
            <w:vAlign w:val="center"/>
          </w:tcPr>
          <w:p w14:paraId="01364A5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质量保障措施方案</w:t>
            </w:r>
          </w:p>
        </w:tc>
        <w:tc>
          <w:tcPr>
            <w:tcW w:w="6461" w:type="dxa"/>
            <w:tcBorders>
              <w:top w:val="single" w:color="auto" w:sz="4" w:space="0"/>
              <w:left w:val="single" w:color="auto" w:sz="4" w:space="0"/>
              <w:bottom w:val="single" w:color="auto" w:sz="4" w:space="0"/>
              <w:right w:val="single" w:color="auto" w:sz="4" w:space="0"/>
            </w:tcBorders>
            <w:vAlign w:val="center"/>
          </w:tcPr>
          <w:p w14:paraId="4F2E0816">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供应商针对本项目理解,根据项目实际需求，提供符合本项目的质量保障措施方</w:t>
            </w:r>
            <w:r>
              <w:rPr>
                <w:rFonts w:hint="eastAsia" w:ascii="宋体" w:hAnsi="宋体" w:eastAsia="宋体" w:cs="宋体"/>
                <w:sz w:val="24"/>
                <w:szCs w:val="24"/>
              </w:rPr>
              <w:t>案</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sz w:val="24"/>
                <w:szCs w:val="24"/>
                <w:lang w:val="en-US" w:eastAsia="zh-CN"/>
              </w:rPr>
              <w:t>内容包括但不限于</w:t>
            </w:r>
            <w:r>
              <w:rPr>
                <w:rFonts w:hint="eastAsia" w:ascii="宋体" w:hAnsi="宋体" w:eastAsia="宋体" w:cs="宋体"/>
                <w:color w:val="000000"/>
                <w:kern w:val="0"/>
                <w:sz w:val="24"/>
                <w:szCs w:val="24"/>
                <w:lang w:val="en-US" w:eastAsia="zh-CN"/>
              </w:rPr>
              <w:t>：</w:t>
            </w:r>
          </w:p>
          <w:p w14:paraId="185ED4F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①项目质量管理；</w:t>
            </w:r>
          </w:p>
          <w:p w14:paraId="33B0F660">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②项目人员保障措施；</w:t>
            </w:r>
          </w:p>
          <w:p w14:paraId="74316E70">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③项目服务质量保障措施。</w:t>
            </w:r>
          </w:p>
          <w:p w14:paraId="1FDE8D8F">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磋商小组根据供应商提供的方案，进行综合评审：</w:t>
            </w:r>
          </w:p>
          <w:p w14:paraId="78EA5B00">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（1）对本项目特点和难点理解准确，方案中该项内容优于本项目采购需求，完整详细，可行性、实用性、针对性强，该项得5分；</w:t>
            </w:r>
          </w:p>
          <w:p w14:paraId="662988C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（2）对本项目特点和难点理解基本准确，方案中该项内容适合本项目采购需求，完整详细，具有可行性、实用性和针对性，该项得3分；</w:t>
            </w:r>
          </w:p>
          <w:p w14:paraId="1FA0AE2A">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（3）对本项目特点和难点理解有待提升，方案中该项内容基本适合本项目采购需求，可行性、实用性、针对性有待改善，该项得1分；</w:t>
            </w:r>
          </w:p>
          <w:p w14:paraId="21A3941D">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（4）方案不可行或者未提供得0分。</w:t>
            </w:r>
          </w:p>
          <w:p w14:paraId="0D48F615">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lang w:val="en-US" w:eastAsia="zh-CN"/>
              </w:rPr>
              <w:t>本项最高得5分。</w:t>
            </w:r>
          </w:p>
        </w:tc>
        <w:tc>
          <w:tcPr>
            <w:tcW w:w="861" w:type="dxa"/>
            <w:tcBorders>
              <w:top w:val="single" w:color="auto" w:sz="4" w:space="0"/>
              <w:left w:val="single" w:color="auto" w:sz="4" w:space="0"/>
              <w:bottom w:val="single" w:color="auto" w:sz="4" w:space="0"/>
              <w:right w:val="single" w:color="auto" w:sz="4" w:space="0"/>
            </w:tcBorders>
            <w:vAlign w:val="center"/>
          </w:tcPr>
          <w:p w14:paraId="5B2DE96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0-5</w:t>
            </w:r>
          </w:p>
        </w:tc>
      </w:tr>
      <w:tr w14:paraId="60D0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55" w:hRule="atLeast"/>
          <w:jc w:val="center"/>
        </w:trPr>
        <w:tc>
          <w:tcPr>
            <w:tcW w:w="1031" w:type="dxa"/>
            <w:tcBorders>
              <w:left w:val="single" w:color="auto" w:sz="4" w:space="0"/>
              <w:right w:val="single" w:color="auto" w:sz="4" w:space="0"/>
            </w:tcBorders>
            <w:vAlign w:val="center"/>
          </w:tcPr>
          <w:p w14:paraId="75ACDD1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价格分</w:t>
            </w:r>
          </w:p>
          <w:p w14:paraId="4EB7613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u w:val="single"/>
                <w:lang w:val="en-US" w:eastAsia="zh-CN"/>
              </w:rPr>
              <w:t>1</w:t>
            </w:r>
            <w:r>
              <w:rPr>
                <w:rFonts w:hint="eastAsia" w:ascii="宋体" w:hAnsi="宋体" w:eastAsia="宋体" w:cs="宋体"/>
                <w:b/>
                <w:bCs/>
                <w:sz w:val="24"/>
                <w:szCs w:val="24"/>
                <w:u w:val="single"/>
              </w:rPr>
              <w:t>0</w:t>
            </w:r>
            <w:r>
              <w:rPr>
                <w:rFonts w:hint="eastAsia" w:ascii="宋体" w:hAnsi="宋体" w:eastAsia="宋体" w:cs="宋体"/>
                <w:b/>
                <w:bCs/>
                <w:sz w:val="24"/>
                <w:szCs w:val="24"/>
              </w:rPr>
              <w:t>分）</w:t>
            </w:r>
          </w:p>
        </w:tc>
        <w:tc>
          <w:tcPr>
            <w:tcW w:w="8456" w:type="dxa"/>
            <w:gridSpan w:val="3"/>
            <w:tcBorders>
              <w:top w:val="single" w:color="auto" w:sz="4" w:space="0"/>
              <w:left w:val="single" w:color="auto" w:sz="4" w:space="0"/>
              <w:bottom w:val="single" w:color="auto" w:sz="4" w:space="0"/>
              <w:right w:val="single" w:color="auto" w:sz="4" w:space="0"/>
            </w:tcBorders>
            <w:vAlign w:val="center"/>
          </w:tcPr>
          <w:p w14:paraId="7E6C9748">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价格分统一采用低价优先法，即满足磋商文件要求且最终报价最低的价格作为评标基准价，其价格分为满分</w:t>
            </w:r>
            <w:r>
              <w:rPr>
                <w:rFonts w:hint="eastAsia" w:ascii="宋体" w:hAnsi="宋体" w:eastAsia="宋体" w:cs="宋体"/>
                <w:sz w:val="24"/>
                <w:szCs w:val="24"/>
                <w:lang w:val="en-US" w:eastAsia="zh-CN"/>
              </w:rPr>
              <w:t>1</w:t>
            </w:r>
            <w:r>
              <w:rPr>
                <w:rFonts w:hint="eastAsia" w:ascii="宋体" w:hAnsi="宋体" w:eastAsia="宋体" w:cs="宋体"/>
                <w:sz w:val="24"/>
                <w:szCs w:val="24"/>
              </w:rPr>
              <w:t>0分。其他磋商供应商的价格分统一按照下列公式计算（四舍五入保留至小数点后两位数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响应报价</w:t>
            </w:r>
            <w:r>
              <w:rPr>
                <w:rFonts w:hint="eastAsia" w:ascii="宋体" w:hAnsi="宋体" w:eastAsia="宋体" w:cs="宋体"/>
                <w:sz w:val="24"/>
                <w:szCs w:val="24"/>
                <w:lang w:eastAsia="zh-CN"/>
              </w:rPr>
              <w:t>保留两位小数</w:t>
            </w:r>
            <w:r>
              <w:rPr>
                <w:rFonts w:hint="eastAsia" w:ascii="宋体" w:hAnsi="宋体" w:eastAsia="宋体" w:cs="宋体"/>
                <w:sz w:val="24"/>
                <w:szCs w:val="24"/>
              </w:rPr>
              <w:t>）：</w:t>
            </w:r>
          </w:p>
          <w:p w14:paraId="62B6B2E4">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磋商报价得分＝（评标基准价/磋商报价）×</w:t>
            </w:r>
            <w:r>
              <w:rPr>
                <w:rFonts w:hint="eastAsia" w:ascii="宋体" w:hAnsi="宋体" w:eastAsia="宋体" w:cs="宋体"/>
                <w:sz w:val="24"/>
                <w:szCs w:val="24"/>
                <w:lang w:val="en-US" w:eastAsia="zh-CN"/>
              </w:rPr>
              <w:t>1</w:t>
            </w:r>
            <w:r>
              <w:rPr>
                <w:rFonts w:hint="eastAsia" w:ascii="宋体" w:hAnsi="宋体" w:eastAsia="宋体" w:cs="宋体"/>
                <w:sz w:val="24"/>
                <w:szCs w:val="24"/>
              </w:rPr>
              <w:t>0％×100</w:t>
            </w:r>
          </w:p>
        </w:tc>
      </w:tr>
    </w:tbl>
    <w:p w14:paraId="33C096F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C61C0C6">
      <w:pPr>
        <w:pStyle w:val="12"/>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3、得分汇总</w:t>
      </w:r>
    </w:p>
    <w:p w14:paraId="7CF3FDE6">
      <w:pPr>
        <w:pStyle w:val="12"/>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294C1F7A">
      <w:pPr>
        <w:spacing w:line="520" w:lineRule="exact"/>
        <w:ind w:firstLine="480" w:firstLineChars="200"/>
        <w:rPr>
          <w:rFonts w:ascii="宋体" w:hAnsi="宋体" w:cs="宋体"/>
          <w:color w:val="auto"/>
          <w:sz w:val="28"/>
          <w:szCs w:val="28"/>
          <w:highlight w:val="none"/>
        </w:rPr>
      </w:pPr>
      <w:r>
        <w:rPr>
          <w:rFonts w:hint="eastAsia" w:ascii="宋体" w:hAnsi="宋体" w:cs="宋体"/>
          <w:color w:val="auto"/>
          <w:sz w:val="24"/>
          <w:szCs w:val="24"/>
          <w:highlight w:val="none"/>
        </w:rPr>
        <w:t>（2）按照有效磋商供应商综合总得分由高到低依次排出成交供应商及成交候选供应商。</w:t>
      </w:r>
    </w:p>
    <w:p w14:paraId="74BCFCDC">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7C48846">
      <w:pPr>
        <w:pStyle w:val="3"/>
        <w:spacing w:before="0" w:after="0" w:line="560" w:lineRule="exact"/>
        <w:jc w:val="center"/>
        <w:rPr>
          <w:rFonts w:ascii="宋体" w:hAnsi="宋体" w:eastAsia="宋体" w:cs="宋体"/>
          <w:color w:val="auto"/>
          <w:sz w:val="28"/>
          <w:szCs w:val="28"/>
          <w:highlight w:val="none"/>
        </w:rPr>
      </w:pPr>
      <w:bookmarkStart w:id="43" w:name="_Toc6567"/>
      <w:r>
        <w:rPr>
          <w:rFonts w:hint="eastAsia" w:ascii="宋体" w:hAnsi="宋体" w:eastAsia="宋体" w:cs="宋体"/>
          <w:color w:val="auto"/>
          <w:sz w:val="28"/>
          <w:szCs w:val="28"/>
          <w:highlight w:val="none"/>
        </w:rPr>
        <w:t>五、响应文件格式</w:t>
      </w:r>
      <w:bookmarkEnd w:id="43"/>
    </w:p>
    <w:p w14:paraId="726B5D3C">
      <w:pPr>
        <w:spacing w:line="500" w:lineRule="exact"/>
        <w:jc w:val="center"/>
        <w:rPr>
          <w:rFonts w:ascii="宋体" w:hAnsi="宋体"/>
          <w:b/>
          <w:color w:val="auto"/>
          <w:sz w:val="32"/>
          <w:highlight w:val="none"/>
        </w:rPr>
      </w:pPr>
    </w:p>
    <w:p w14:paraId="71408AC8">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7A2A3274">
      <w:pPr>
        <w:spacing w:line="900" w:lineRule="exact"/>
        <w:rPr>
          <w:rFonts w:ascii="宋体" w:hAnsi="宋体"/>
          <w:b/>
          <w:color w:val="auto"/>
          <w:sz w:val="72"/>
          <w:highlight w:val="none"/>
        </w:rPr>
      </w:pPr>
    </w:p>
    <w:p w14:paraId="64B95F19">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6682BB8B">
      <w:pPr>
        <w:spacing w:line="900" w:lineRule="exact"/>
        <w:jc w:val="center"/>
        <w:rPr>
          <w:rFonts w:ascii="宋体" w:hAnsi="宋体"/>
          <w:b/>
          <w:color w:val="auto"/>
          <w:sz w:val="72"/>
          <w:highlight w:val="none"/>
        </w:rPr>
      </w:pPr>
    </w:p>
    <w:p w14:paraId="75989CF3">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66F71ADB">
      <w:pPr>
        <w:spacing w:line="900" w:lineRule="exact"/>
        <w:jc w:val="center"/>
        <w:rPr>
          <w:rFonts w:ascii="宋体" w:hAnsi="宋体"/>
          <w:b/>
          <w:color w:val="auto"/>
          <w:sz w:val="72"/>
          <w:highlight w:val="none"/>
        </w:rPr>
      </w:pPr>
    </w:p>
    <w:p w14:paraId="08E132B3">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7D47BCFF">
      <w:pPr>
        <w:spacing w:line="900" w:lineRule="exact"/>
        <w:jc w:val="center"/>
        <w:rPr>
          <w:rFonts w:ascii="宋体" w:hAnsi="宋体"/>
          <w:b/>
          <w:color w:val="auto"/>
          <w:sz w:val="72"/>
          <w:highlight w:val="none"/>
        </w:rPr>
      </w:pPr>
    </w:p>
    <w:p w14:paraId="22A8E102">
      <w:pPr>
        <w:jc w:val="center"/>
        <w:rPr>
          <w:rFonts w:ascii="宋体" w:hAnsi="宋体"/>
          <w:b/>
          <w:color w:val="auto"/>
          <w:sz w:val="72"/>
          <w:highlight w:val="none"/>
        </w:rPr>
      </w:pPr>
      <w:r>
        <w:rPr>
          <w:rFonts w:hint="eastAsia" w:ascii="宋体" w:hAnsi="宋体"/>
          <w:b/>
          <w:color w:val="auto"/>
          <w:sz w:val="72"/>
          <w:highlight w:val="none"/>
        </w:rPr>
        <w:t>件</w:t>
      </w:r>
    </w:p>
    <w:p w14:paraId="1D6657B4">
      <w:pPr>
        <w:spacing w:after="156" w:afterLines="50"/>
        <w:jc w:val="center"/>
        <w:rPr>
          <w:rFonts w:ascii="宋体" w:hAnsi="宋体"/>
          <w:b/>
          <w:color w:val="auto"/>
          <w:sz w:val="72"/>
          <w:highlight w:val="none"/>
        </w:rPr>
      </w:pPr>
    </w:p>
    <w:p w14:paraId="7C02D963">
      <w:pPr>
        <w:spacing w:after="156" w:afterLines="50" w:line="500" w:lineRule="exact"/>
        <w:jc w:val="center"/>
        <w:rPr>
          <w:rFonts w:ascii="宋体" w:hAnsi="宋体"/>
          <w:b/>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包</w:t>
      </w:r>
    </w:p>
    <w:p w14:paraId="460623F7">
      <w:pPr>
        <w:spacing w:after="156" w:afterLines="50" w:line="500" w:lineRule="exact"/>
        <w:jc w:val="center"/>
        <w:rPr>
          <w:rFonts w:ascii="宋体" w:hAnsi="宋体"/>
          <w:b/>
          <w:color w:val="auto"/>
          <w:sz w:val="72"/>
          <w:highlight w:val="none"/>
        </w:rPr>
      </w:pPr>
    </w:p>
    <w:p w14:paraId="7B893CDC">
      <w:pPr>
        <w:spacing w:after="156" w:afterLines="50" w:line="500" w:lineRule="exact"/>
        <w:ind w:firstLine="3052" w:firstLineChars="950"/>
        <w:rPr>
          <w:rFonts w:ascii="宋体" w:hAnsi="宋体"/>
          <w:b/>
          <w:color w:val="auto"/>
          <w:sz w:val="32"/>
          <w:highlight w:val="none"/>
          <w:u w:val="single"/>
        </w:rPr>
      </w:pPr>
      <w:r>
        <w:rPr>
          <w:rFonts w:hint="eastAsia" w:ascii="宋体" w:hAnsi="宋体"/>
          <w:b/>
          <w:color w:val="auto"/>
          <w:sz w:val="32"/>
          <w:highlight w:val="none"/>
        </w:rPr>
        <w:t>供应商：</w:t>
      </w:r>
    </w:p>
    <w:p w14:paraId="26F44973">
      <w:pPr>
        <w:spacing w:after="156" w:afterLines="50" w:line="500" w:lineRule="exact"/>
        <w:ind w:firstLine="3052" w:firstLineChars="950"/>
        <w:rPr>
          <w:rFonts w:ascii="宋体" w:hAnsi="宋体"/>
          <w:b/>
          <w:color w:val="auto"/>
          <w:sz w:val="32"/>
          <w:highlight w:val="none"/>
        </w:rPr>
      </w:pPr>
      <w:r>
        <w:rPr>
          <w:rFonts w:hint="eastAsia" w:ascii="宋体" w:hAnsi="宋体"/>
          <w:b/>
          <w:color w:val="auto"/>
          <w:sz w:val="32"/>
          <w:highlight w:val="none"/>
        </w:rPr>
        <w:t>年  月  日</w:t>
      </w:r>
    </w:p>
    <w:p w14:paraId="14C6A0A4">
      <w:pPr>
        <w:spacing w:after="156" w:afterLines="50" w:line="500" w:lineRule="exact"/>
        <w:jc w:val="center"/>
        <w:rPr>
          <w:rFonts w:ascii="宋体" w:hAnsi="宋体"/>
          <w:b/>
          <w:color w:val="auto"/>
          <w:sz w:val="32"/>
          <w:highlight w:val="none"/>
        </w:rPr>
      </w:pPr>
    </w:p>
    <w:p w14:paraId="26403882">
      <w:pPr>
        <w:spacing w:line="360" w:lineRule="auto"/>
        <w:rPr>
          <w:rFonts w:ascii="宋体" w:hAnsi="宋体"/>
          <w:color w:val="auto"/>
          <w:sz w:val="24"/>
          <w:szCs w:val="28"/>
          <w:highlight w:val="none"/>
        </w:rPr>
      </w:pPr>
    </w:p>
    <w:bookmarkEnd w:id="37"/>
    <w:p w14:paraId="237742B8">
      <w:pPr>
        <w:pStyle w:val="3"/>
        <w:spacing w:before="156" w:beforeLines="50" w:after="156" w:afterLines="50" w:line="560" w:lineRule="exact"/>
        <w:jc w:val="center"/>
        <w:rPr>
          <w:rFonts w:ascii="宋体" w:hAnsi="宋体" w:eastAsia="宋体" w:cs="宋体"/>
          <w:color w:val="auto"/>
          <w:sz w:val="24"/>
          <w:szCs w:val="24"/>
          <w:highlight w:val="none"/>
        </w:rPr>
      </w:pPr>
      <w:bookmarkStart w:id="44" w:name="_Toc6954"/>
      <w:r>
        <w:rPr>
          <w:rFonts w:hint="eastAsia" w:ascii="宋体" w:hAnsi="宋体" w:eastAsia="宋体" w:cs="宋体"/>
          <w:color w:val="auto"/>
          <w:sz w:val="24"/>
          <w:szCs w:val="24"/>
          <w:highlight w:val="none"/>
        </w:rPr>
        <w:t>响应文件资料清单</w:t>
      </w:r>
      <w:bookmarkEnd w:id="44"/>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E5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A965BF">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11810D9B">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1A893B69">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52BF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F7C7163">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563EBD5E">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37B0838D">
            <w:pPr>
              <w:spacing w:line="360" w:lineRule="auto"/>
              <w:jc w:val="center"/>
              <w:rPr>
                <w:rFonts w:ascii="宋体" w:hAnsi="宋体"/>
                <w:b/>
                <w:color w:val="auto"/>
                <w:sz w:val="24"/>
                <w:highlight w:val="none"/>
              </w:rPr>
            </w:pPr>
          </w:p>
        </w:tc>
      </w:tr>
      <w:tr w14:paraId="338F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EA67235">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25292562">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16C1C92B">
            <w:pPr>
              <w:spacing w:line="360" w:lineRule="auto"/>
              <w:jc w:val="center"/>
              <w:rPr>
                <w:rFonts w:ascii="宋体" w:hAnsi="宋体"/>
                <w:b/>
                <w:color w:val="auto"/>
                <w:sz w:val="24"/>
                <w:highlight w:val="none"/>
              </w:rPr>
            </w:pPr>
          </w:p>
        </w:tc>
      </w:tr>
      <w:tr w14:paraId="2E74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20DF431">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2CF64893">
            <w:pPr>
              <w:pStyle w:val="68"/>
              <w:rPr>
                <w:color w:val="auto"/>
                <w:highlight w:val="none"/>
              </w:rPr>
            </w:pPr>
            <w:r>
              <w:rPr>
                <w:rFonts w:hint="eastAsia" w:ascii="宋体" w:hAnsi="宋体"/>
                <w:color w:val="auto"/>
                <w:szCs w:val="24"/>
                <w:highlight w:val="none"/>
              </w:rPr>
              <w:t>磋商授权书</w:t>
            </w:r>
          </w:p>
        </w:tc>
        <w:tc>
          <w:tcPr>
            <w:tcW w:w="1417" w:type="dxa"/>
            <w:vAlign w:val="center"/>
          </w:tcPr>
          <w:p w14:paraId="5FF13B97">
            <w:pPr>
              <w:spacing w:line="360" w:lineRule="auto"/>
              <w:jc w:val="center"/>
              <w:rPr>
                <w:rFonts w:ascii="宋体" w:hAnsi="宋体"/>
                <w:b/>
                <w:color w:val="auto"/>
                <w:sz w:val="24"/>
                <w:highlight w:val="none"/>
              </w:rPr>
            </w:pPr>
          </w:p>
        </w:tc>
      </w:tr>
      <w:tr w14:paraId="14C2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0F145CC">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4A2F104A">
            <w:pPr>
              <w:pStyle w:val="68"/>
              <w:rPr>
                <w:color w:val="auto"/>
                <w:highlight w:val="none"/>
              </w:rPr>
            </w:pPr>
            <w:r>
              <w:rPr>
                <w:rFonts w:hint="eastAsia" w:ascii="宋体" w:hAnsi="宋体"/>
                <w:color w:val="auto"/>
                <w:szCs w:val="24"/>
                <w:highlight w:val="none"/>
              </w:rPr>
              <w:t>磋商响应函</w:t>
            </w:r>
          </w:p>
        </w:tc>
        <w:tc>
          <w:tcPr>
            <w:tcW w:w="1417" w:type="dxa"/>
            <w:vAlign w:val="center"/>
          </w:tcPr>
          <w:p w14:paraId="31E4A3E7">
            <w:pPr>
              <w:spacing w:line="360" w:lineRule="auto"/>
              <w:jc w:val="center"/>
              <w:rPr>
                <w:rFonts w:ascii="宋体" w:hAnsi="宋体"/>
                <w:b/>
                <w:color w:val="auto"/>
                <w:sz w:val="24"/>
                <w:highlight w:val="none"/>
              </w:rPr>
            </w:pPr>
          </w:p>
        </w:tc>
      </w:tr>
      <w:tr w14:paraId="2EF0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AA734D2">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6F3E90DC">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44C304AD">
            <w:pPr>
              <w:spacing w:line="360" w:lineRule="auto"/>
              <w:jc w:val="center"/>
              <w:rPr>
                <w:rFonts w:ascii="宋体" w:hAnsi="宋体"/>
                <w:b/>
                <w:color w:val="auto"/>
                <w:sz w:val="24"/>
                <w:highlight w:val="none"/>
              </w:rPr>
            </w:pPr>
          </w:p>
        </w:tc>
      </w:tr>
      <w:tr w14:paraId="64D0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3745B37C">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31B022A2">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3063441F">
            <w:pPr>
              <w:spacing w:line="360" w:lineRule="auto"/>
              <w:rPr>
                <w:rFonts w:ascii="宋体" w:hAnsi="宋体"/>
                <w:b/>
                <w:color w:val="auto"/>
                <w:sz w:val="24"/>
                <w:highlight w:val="none"/>
              </w:rPr>
            </w:pPr>
          </w:p>
        </w:tc>
      </w:tr>
      <w:tr w14:paraId="1A5B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8F4C16E">
            <w:pPr>
              <w:jc w:val="center"/>
              <w:rPr>
                <w:rFonts w:ascii="Tahoma" w:hAnsi="Tahoma"/>
                <w:color w:val="auto"/>
                <w:sz w:val="24"/>
                <w:highlight w:val="none"/>
              </w:rPr>
            </w:pPr>
            <w:r>
              <w:rPr>
                <w:rFonts w:hint="eastAsia" w:ascii="Tahoma" w:hAnsi="Tahoma"/>
                <w:color w:val="auto"/>
                <w:sz w:val="24"/>
                <w:highlight w:val="none"/>
              </w:rPr>
              <w:t>七</w:t>
            </w:r>
          </w:p>
        </w:tc>
        <w:tc>
          <w:tcPr>
            <w:tcW w:w="6038" w:type="dxa"/>
            <w:vAlign w:val="center"/>
          </w:tcPr>
          <w:p w14:paraId="5774B7E8">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p>
        </w:tc>
        <w:tc>
          <w:tcPr>
            <w:tcW w:w="1417" w:type="dxa"/>
            <w:vAlign w:val="center"/>
          </w:tcPr>
          <w:p w14:paraId="31861A65">
            <w:pPr>
              <w:spacing w:line="360" w:lineRule="auto"/>
              <w:rPr>
                <w:rFonts w:ascii="宋体" w:hAnsi="宋体"/>
                <w:b/>
                <w:color w:val="auto"/>
                <w:sz w:val="24"/>
                <w:highlight w:val="none"/>
              </w:rPr>
            </w:pPr>
          </w:p>
        </w:tc>
      </w:tr>
      <w:tr w14:paraId="4EE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4ABB9912">
            <w:pPr>
              <w:jc w:val="center"/>
              <w:rPr>
                <w:rFonts w:hint="eastAsia" w:ascii="Tahoma" w:hAnsi="Tahoma" w:eastAsia="宋体"/>
                <w:color w:val="auto"/>
                <w:sz w:val="24"/>
                <w:highlight w:val="none"/>
                <w:lang w:val="en-US" w:eastAsia="zh-CN"/>
              </w:rPr>
            </w:pPr>
            <w:r>
              <w:rPr>
                <w:rFonts w:hint="eastAsia" w:ascii="Tahoma" w:hAnsi="Tahoma"/>
                <w:color w:val="auto"/>
                <w:sz w:val="24"/>
                <w:highlight w:val="none"/>
                <w:lang w:val="en-US" w:eastAsia="zh-CN"/>
              </w:rPr>
              <w:t>八</w:t>
            </w:r>
          </w:p>
        </w:tc>
        <w:tc>
          <w:tcPr>
            <w:tcW w:w="6038" w:type="dxa"/>
            <w:vAlign w:val="center"/>
          </w:tcPr>
          <w:p w14:paraId="24755C38">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联合体协议</w:t>
            </w:r>
          </w:p>
        </w:tc>
        <w:tc>
          <w:tcPr>
            <w:tcW w:w="1417" w:type="dxa"/>
            <w:vAlign w:val="center"/>
          </w:tcPr>
          <w:p w14:paraId="06FD7A08">
            <w:pPr>
              <w:spacing w:line="360" w:lineRule="auto"/>
              <w:rPr>
                <w:rFonts w:ascii="宋体" w:hAnsi="宋体"/>
                <w:b/>
                <w:color w:val="auto"/>
                <w:sz w:val="24"/>
                <w:highlight w:val="none"/>
              </w:rPr>
            </w:pPr>
          </w:p>
        </w:tc>
      </w:tr>
      <w:tr w14:paraId="2995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F360854">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九</w:t>
            </w:r>
          </w:p>
        </w:tc>
        <w:tc>
          <w:tcPr>
            <w:tcW w:w="6038" w:type="dxa"/>
            <w:vAlign w:val="center"/>
          </w:tcPr>
          <w:p w14:paraId="1E01B7EC">
            <w:pPr>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20E88AFB">
            <w:pPr>
              <w:spacing w:line="360" w:lineRule="auto"/>
              <w:rPr>
                <w:rFonts w:ascii="宋体" w:hAnsi="宋体"/>
                <w:b/>
                <w:color w:val="auto"/>
                <w:sz w:val="24"/>
                <w:highlight w:val="none"/>
              </w:rPr>
            </w:pPr>
          </w:p>
        </w:tc>
      </w:tr>
      <w:tr w14:paraId="6E4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653947B0">
            <w:pPr>
              <w:jc w:val="center"/>
              <w:rPr>
                <w:rFonts w:hint="eastAsia" w:ascii="Tahoma" w:hAnsi="Tahoma"/>
                <w:color w:val="auto"/>
                <w:sz w:val="24"/>
                <w:highlight w:val="none"/>
                <w:lang w:val="en-US" w:eastAsia="zh-CN"/>
              </w:rPr>
            </w:pPr>
            <w:r>
              <w:rPr>
                <w:rFonts w:hint="eastAsia" w:ascii="Tahoma" w:hAnsi="Tahoma"/>
                <w:color w:val="auto"/>
                <w:sz w:val="24"/>
                <w:highlight w:val="none"/>
                <w:lang w:val="en-US" w:eastAsia="zh-CN"/>
              </w:rPr>
              <w:t>十</w:t>
            </w:r>
          </w:p>
        </w:tc>
        <w:tc>
          <w:tcPr>
            <w:tcW w:w="6038" w:type="dxa"/>
            <w:vAlign w:val="center"/>
          </w:tcPr>
          <w:p w14:paraId="66A88B9D">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二轮报价表</w:t>
            </w:r>
          </w:p>
        </w:tc>
        <w:tc>
          <w:tcPr>
            <w:tcW w:w="1417" w:type="dxa"/>
            <w:vAlign w:val="center"/>
          </w:tcPr>
          <w:p w14:paraId="1BABA20D">
            <w:pPr>
              <w:spacing w:line="360" w:lineRule="auto"/>
              <w:rPr>
                <w:rFonts w:ascii="宋体" w:hAnsi="宋体"/>
                <w:b/>
                <w:color w:val="auto"/>
                <w:sz w:val="24"/>
                <w:highlight w:val="none"/>
              </w:rPr>
            </w:pPr>
          </w:p>
        </w:tc>
      </w:tr>
    </w:tbl>
    <w:p w14:paraId="033FC4B6">
      <w:pPr>
        <w:spacing w:line="360" w:lineRule="auto"/>
        <w:jc w:val="center"/>
        <w:rPr>
          <w:rFonts w:ascii="宋体" w:hAnsi="宋体"/>
          <w:b/>
          <w:color w:val="auto"/>
          <w:sz w:val="24"/>
          <w:highlight w:val="none"/>
        </w:rPr>
      </w:pPr>
    </w:p>
    <w:p w14:paraId="59F8F5F9">
      <w:pPr>
        <w:spacing w:line="360" w:lineRule="auto"/>
        <w:jc w:val="center"/>
        <w:rPr>
          <w:rFonts w:ascii="宋体" w:hAnsi="宋体"/>
          <w:b/>
          <w:color w:val="auto"/>
          <w:sz w:val="24"/>
          <w:highlight w:val="none"/>
        </w:rPr>
      </w:pPr>
    </w:p>
    <w:p w14:paraId="3CAE15CB">
      <w:pPr>
        <w:spacing w:line="360" w:lineRule="auto"/>
        <w:jc w:val="center"/>
        <w:rPr>
          <w:rFonts w:ascii="宋体" w:hAnsi="宋体"/>
          <w:b/>
          <w:color w:val="auto"/>
          <w:sz w:val="24"/>
          <w:highlight w:val="none"/>
        </w:rPr>
      </w:pPr>
    </w:p>
    <w:p w14:paraId="10C2ECD3">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7257AA7">
      <w:pPr>
        <w:pStyle w:val="3"/>
        <w:spacing w:before="0" w:after="0" w:line="560" w:lineRule="exact"/>
        <w:rPr>
          <w:rFonts w:ascii="宋体" w:hAnsi="宋体" w:eastAsia="宋体" w:cs="宋体"/>
          <w:sz w:val="24"/>
          <w:szCs w:val="24"/>
        </w:rPr>
      </w:pPr>
      <w:bookmarkStart w:id="45" w:name="_Toc26458"/>
      <w:r>
        <w:rPr>
          <w:rFonts w:hint="eastAsia" w:ascii="宋体" w:hAnsi="宋体" w:eastAsia="宋体" w:cs="宋体"/>
          <w:color w:val="auto"/>
          <w:sz w:val="24"/>
          <w:szCs w:val="24"/>
          <w:highlight w:val="none"/>
        </w:rPr>
        <w:t>附件一</w:t>
      </w:r>
      <w:bookmarkEnd w:id="45"/>
    </w:p>
    <w:p w14:paraId="08822115">
      <w:pPr>
        <w:pStyle w:val="3"/>
        <w:spacing w:before="0" w:after="0" w:line="560" w:lineRule="exact"/>
        <w:jc w:val="center"/>
        <w:rPr>
          <w:rFonts w:ascii="宋体" w:hAnsi="宋体" w:eastAsia="宋体" w:cs="宋体"/>
          <w:sz w:val="24"/>
          <w:szCs w:val="24"/>
        </w:rPr>
      </w:pPr>
      <w:bookmarkStart w:id="46" w:name="_Toc5601"/>
      <w:bookmarkStart w:id="47" w:name="_Toc9181"/>
      <w:bookmarkStart w:id="48" w:name="_Toc15830"/>
      <w:bookmarkStart w:id="49" w:name="_Toc10816"/>
      <w:bookmarkStart w:id="50" w:name="_Toc4696"/>
      <w:r>
        <w:rPr>
          <w:rFonts w:hint="eastAsia" w:ascii="宋体" w:hAnsi="宋体" w:eastAsia="宋体" w:cs="宋体"/>
          <w:sz w:val="24"/>
          <w:szCs w:val="24"/>
        </w:rPr>
        <w:t>报价单</w:t>
      </w:r>
      <w:bookmarkEnd w:id="46"/>
      <w:bookmarkEnd w:id="47"/>
      <w:bookmarkEnd w:id="48"/>
      <w:bookmarkEnd w:id="49"/>
      <w:bookmarkEnd w:id="50"/>
    </w:p>
    <w:p w14:paraId="6768C4EF">
      <w:pPr>
        <w:rPr>
          <w:rFonts w:ascii="宋体" w:hAnsi="宋体" w:cs="宋体"/>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5B8F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vAlign w:val="center"/>
          </w:tcPr>
          <w:p w14:paraId="7D596853">
            <w:pPr>
              <w:jc w:val="center"/>
              <w:rPr>
                <w:rFonts w:ascii="宋体" w:hAnsi="宋体" w:cs="宋体"/>
                <w:b/>
                <w:sz w:val="24"/>
                <w:szCs w:val="24"/>
              </w:rPr>
            </w:pPr>
            <w:r>
              <w:rPr>
                <w:rFonts w:hint="eastAsia" w:ascii="宋体" w:hAnsi="宋体" w:cs="宋体"/>
                <w:b/>
                <w:sz w:val="24"/>
                <w:szCs w:val="24"/>
              </w:rPr>
              <w:t>序号</w:t>
            </w:r>
          </w:p>
        </w:tc>
        <w:tc>
          <w:tcPr>
            <w:tcW w:w="4078" w:type="dxa"/>
            <w:vAlign w:val="center"/>
          </w:tcPr>
          <w:p w14:paraId="08F1D2DF">
            <w:pPr>
              <w:jc w:val="center"/>
              <w:rPr>
                <w:rFonts w:ascii="宋体" w:hAnsi="宋体" w:cs="宋体"/>
                <w:b/>
                <w:sz w:val="24"/>
                <w:szCs w:val="24"/>
              </w:rPr>
            </w:pPr>
            <w:r>
              <w:rPr>
                <w:rFonts w:hint="eastAsia" w:ascii="宋体" w:hAnsi="宋体" w:cs="宋体"/>
                <w:b/>
                <w:sz w:val="24"/>
                <w:szCs w:val="24"/>
              </w:rPr>
              <w:t>服务内容</w:t>
            </w:r>
          </w:p>
        </w:tc>
        <w:tc>
          <w:tcPr>
            <w:tcW w:w="1214" w:type="dxa"/>
            <w:vAlign w:val="center"/>
          </w:tcPr>
          <w:p w14:paraId="6940386E">
            <w:pPr>
              <w:jc w:val="center"/>
              <w:rPr>
                <w:rFonts w:ascii="宋体" w:hAnsi="宋体" w:cs="宋体"/>
                <w:b/>
                <w:sz w:val="24"/>
                <w:szCs w:val="24"/>
              </w:rPr>
            </w:pPr>
            <w:r>
              <w:rPr>
                <w:rFonts w:hint="eastAsia" w:ascii="宋体" w:hAnsi="宋体" w:cs="宋体"/>
                <w:b/>
                <w:sz w:val="24"/>
                <w:szCs w:val="24"/>
              </w:rPr>
              <w:t>项</w:t>
            </w:r>
          </w:p>
        </w:tc>
        <w:tc>
          <w:tcPr>
            <w:tcW w:w="1091" w:type="dxa"/>
            <w:vAlign w:val="center"/>
          </w:tcPr>
          <w:p w14:paraId="0C314E97">
            <w:pPr>
              <w:jc w:val="center"/>
              <w:rPr>
                <w:rFonts w:ascii="宋体" w:hAnsi="宋体" w:cs="宋体"/>
                <w:b/>
                <w:sz w:val="24"/>
                <w:szCs w:val="24"/>
              </w:rPr>
            </w:pPr>
            <w:r>
              <w:rPr>
                <w:rFonts w:hint="eastAsia" w:ascii="宋体" w:hAnsi="宋体" w:cs="宋体"/>
                <w:b/>
                <w:sz w:val="24"/>
                <w:szCs w:val="24"/>
              </w:rPr>
              <w:t>单价</w:t>
            </w:r>
          </w:p>
        </w:tc>
        <w:tc>
          <w:tcPr>
            <w:tcW w:w="1821" w:type="dxa"/>
            <w:vAlign w:val="center"/>
          </w:tcPr>
          <w:p w14:paraId="646D8D9A">
            <w:pPr>
              <w:jc w:val="center"/>
              <w:rPr>
                <w:rFonts w:ascii="宋体" w:hAnsi="宋体" w:cs="宋体"/>
                <w:b/>
                <w:sz w:val="24"/>
                <w:szCs w:val="24"/>
              </w:rPr>
            </w:pPr>
            <w:r>
              <w:rPr>
                <w:rFonts w:hint="eastAsia" w:ascii="宋体" w:hAnsi="宋体" w:cs="宋体"/>
                <w:b/>
                <w:sz w:val="24"/>
                <w:szCs w:val="24"/>
              </w:rPr>
              <w:t>小计金额（元）</w:t>
            </w:r>
          </w:p>
        </w:tc>
      </w:tr>
      <w:tr w14:paraId="21FC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vAlign w:val="center"/>
          </w:tcPr>
          <w:p w14:paraId="40779C9F">
            <w:pPr>
              <w:jc w:val="center"/>
              <w:rPr>
                <w:rFonts w:ascii="宋体" w:hAnsi="宋体" w:cs="宋体"/>
                <w:bCs/>
                <w:sz w:val="24"/>
                <w:szCs w:val="24"/>
              </w:rPr>
            </w:pPr>
            <w:r>
              <w:rPr>
                <w:rFonts w:hint="eastAsia" w:ascii="宋体" w:hAnsi="宋体" w:cs="宋体"/>
                <w:bCs/>
                <w:sz w:val="24"/>
                <w:szCs w:val="24"/>
              </w:rPr>
              <w:t>1</w:t>
            </w:r>
          </w:p>
        </w:tc>
        <w:tc>
          <w:tcPr>
            <w:tcW w:w="4078" w:type="dxa"/>
            <w:vAlign w:val="center"/>
          </w:tcPr>
          <w:p w14:paraId="2D9EEEB3">
            <w:pPr>
              <w:jc w:val="center"/>
              <w:rPr>
                <w:rFonts w:ascii="宋体" w:hAnsi="宋体" w:cs="宋体"/>
                <w:bCs/>
                <w:sz w:val="24"/>
                <w:szCs w:val="24"/>
              </w:rPr>
            </w:pPr>
          </w:p>
        </w:tc>
        <w:tc>
          <w:tcPr>
            <w:tcW w:w="1214" w:type="dxa"/>
            <w:vAlign w:val="center"/>
          </w:tcPr>
          <w:p w14:paraId="5D23CEF4">
            <w:pPr>
              <w:jc w:val="center"/>
              <w:rPr>
                <w:rFonts w:ascii="宋体" w:hAnsi="宋体" w:cs="宋体"/>
                <w:bCs/>
                <w:sz w:val="24"/>
                <w:szCs w:val="24"/>
              </w:rPr>
            </w:pPr>
          </w:p>
        </w:tc>
        <w:tc>
          <w:tcPr>
            <w:tcW w:w="1091" w:type="dxa"/>
            <w:vAlign w:val="center"/>
          </w:tcPr>
          <w:p w14:paraId="6F7280F7">
            <w:pPr>
              <w:jc w:val="center"/>
              <w:rPr>
                <w:rFonts w:ascii="宋体" w:hAnsi="宋体" w:cs="宋体"/>
                <w:bCs/>
                <w:sz w:val="24"/>
                <w:szCs w:val="24"/>
              </w:rPr>
            </w:pPr>
          </w:p>
        </w:tc>
        <w:tc>
          <w:tcPr>
            <w:tcW w:w="1821" w:type="dxa"/>
            <w:vAlign w:val="center"/>
          </w:tcPr>
          <w:p w14:paraId="2438B1B8">
            <w:pPr>
              <w:jc w:val="center"/>
              <w:rPr>
                <w:rFonts w:ascii="宋体" w:hAnsi="宋体" w:cs="宋体"/>
                <w:bCs/>
                <w:sz w:val="24"/>
                <w:szCs w:val="24"/>
              </w:rPr>
            </w:pPr>
          </w:p>
        </w:tc>
      </w:tr>
      <w:tr w14:paraId="057F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0DF26CB2">
            <w:pPr>
              <w:jc w:val="center"/>
              <w:rPr>
                <w:rFonts w:ascii="宋体" w:hAnsi="宋体" w:cs="宋体"/>
                <w:bCs/>
                <w:sz w:val="24"/>
                <w:szCs w:val="24"/>
              </w:rPr>
            </w:pPr>
            <w:r>
              <w:rPr>
                <w:rFonts w:hint="eastAsia" w:ascii="宋体" w:hAnsi="宋体" w:cs="宋体"/>
                <w:bCs/>
                <w:sz w:val="24"/>
                <w:szCs w:val="24"/>
              </w:rPr>
              <w:t>2</w:t>
            </w:r>
          </w:p>
        </w:tc>
        <w:tc>
          <w:tcPr>
            <w:tcW w:w="4078" w:type="dxa"/>
            <w:vAlign w:val="center"/>
          </w:tcPr>
          <w:p w14:paraId="48ABD26E">
            <w:pPr>
              <w:jc w:val="center"/>
              <w:rPr>
                <w:rFonts w:ascii="宋体" w:hAnsi="宋体" w:cs="宋体"/>
                <w:bCs/>
                <w:sz w:val="24"/>
                <w:szCs w:val="24"/>
              </w:rPr>
            </w:pPr>
          </w:p>
        </w:tc>
        <w:tc>
          <w:tcPr>
            <w:tcW w:w="1214" w:type="dxa"/>
            <w:vAlign w:val="center"/>
          </w:tcPr>
          <w:p w14:paraId="3C665A08">
            <w:pPr>
              <w:jc w:val="center"/>
              <w:rPr>
                <w:rFonts w:ascii="宋体" w:hAnsi="宋体" w:cs="宋体"/>
                <w:bCs/>
                <w:sz w:val="24"/>
                <w:szCs w:val="24"/>
              </w:rPr>
            </w:pPr>
          </w:p>
        </w:tc>
        <w:tc>
          <w:tcPr>
            <w:tcW w:w="1091" w:type="dxa"/>
            <w:vAlign w:val="center"/>
          </w:tcPr>
          <w:p w14:paraId="2A4C4EF7">
            <w:pPr>
              <w:jc w:val="center"/>
              <w:rPr>
                <w:rFonts w:ascii="宋体" w:hAnsi="宋体" w:cs="宋体"/>
                <w:bCs/>
                <w:sz w:val="24"/>
                <w:szCs w:val="24"/>
              </w:rPr>
            </w:pPr>
          </w:p>
        </w:tc>
        <w:tc>
          <w:tcPr>
            <w:tcW w:w="1821" w:type="dxa"/>
            <w:vAlign w:val="center"/>
          </w:tcPr>
          <w:p w14:paraId="3B53F83F">
            <w:pPr>
              <w:jc w:val="center"/>
              <w:rPr>
                <w:rFonts w:ascii="宋体" w:hAnsi="宋体" w:cs="宋体"/>
                <w:bCs/>
                <w:sz w:val="24"/>
                <w:szCs w:val="24"/>
              </w:rPr>
            </w:pPr>
          </w:p>
        </w:tc>
      </w:tr>
      <w:tr w14:paraId="4F2A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504E0EAB">
            <w:pPr>
              <w:jc w:val="center"/>
              <w:rPr>
                <w:rFonts w:ascii="宋体" w:hAnsi="宋体" w:cs="宋体"/>
                <w:bCs/>
                <w:sz w:val="24"/>
                <w:szCs w:val="24"/>
              </w:rPr>
            </w:pPr>
            <w:r>
              <w:rPr>
                <w:rFonts w:hint="eastAsia" w:ascii="宋体" w:hAnsi="宋体" w:cs="宋体"/>
                <w:bCs/>
                <w:sz w:val="24"/>
                <w:szCs w:val="24"/>
              </w:rPr>
              <w:t>3</w:t>
            </w:r>
          </w:p>
        </w:tc>
        <w:tc>
          <w:tcPr>
            <w:tcW w:w="4078" w:type="dxa"/>
            <w:vAlign w:val="center"/>
          </w:tcPr>
          <w:p w14:paraId="59449E28">
            <w:pPr>
              <w:jc w:val="center"/>
              <w:rPr>
                <w:rFonts w:ascii="宋体" w:hAnsi="宋体" w:cs="宋体"/>
                <w:bCs/>
                <w:sz w:val="24"/>
                <w:szCs w:val="24"/>
              </w:rPr>
            </w:pPr>
          </w:p>
        </w:tc>
        <w:tc>
          <w:tcPr>
            <w:tcW w:w="1214" w:type="dxa"/>
            <w:vAlign w:val="center"/>
          </w:tcPr>
          <w:p w14:paraId="79390E2D">
            <w:pPr>
              <w:jc w:val="center"/>
              <w:rPr>
                <w:rFonts w:ascii="宋体" w:hAnsi="宋体" w:cs="宋体"/>
                <w:bCs/>
                <w:sz w:val="24"/>
                <w:szCs w:val="24"/>
              </w:rPr>
            </w:pPr>
          </w:p>
        </w:tc>
        <w:tc>
          <w:tcPr>
            <w:tcW w:w="1091" w:type="dxa"/>
            <w:vAlign w:val="center"/>
          </w:tcPr>
          <w:p w14:paraId="2D309A68">
            <w:pPr>
              <w:jc w:val="center"/>
              <w:rPr>
                <w:rFonts w:ascii="宋体" w:hAnsi="宋体" w:cs="宋体"/>
                <w:bCs/>
                <w:sz w:val="24"/>
                <w:szCs w:val="24"/>
              </w:rPr>
            </w:pPr>
          </w:p>
        </w:tc>
        <w:tc>
          <w:tcPr>
            <w:tcW w:w="1821" w:type="dxa"/>
            <w:vAlign w:val="center"/>
          </w:tcPr>
          <w:p w14:paraId="4B45523C">
            <w:pPr>
              <w:jc w:val="center"/>
              <w:rPr>
                <w:rFonts w:ascii="宋体" w:hAnsi="宋体" w:cs="宋体"/>
                <w:bCs/>
                <w:sz w:val="24"/>
                <w:szCs w:val="24"/>
              </w:rPr>
            </w:pPr>
          </w:p>
        </w:tc>
      </w:tr>
      <w:tr w14:paraId="1B1F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73CFB32">
            <w:pPr>
              <w:jc w:val="center"/>
              <w:rPr>
                <w:rFonts w:ascii="宋体" w:hAnsi="宋体" w:cs="宋体"/>
                <w:bCs/>
                <w:sz w:val="24"/>
                <w:szCs w:val="24"/>
              </w:rPr>
            </w:pPr>
            <w:r>
              <w:rPr>
                <w:rFonts w:hint="eastAsia" w:ascii="宋体" w:hAnsi="宋体" w:cs="宋体"/>
                <w:bCs/>
                <w:sz w:val="24"/>
                <w:szCs w:val="24"/>
              </w:rPr>
              <w:t>…</w:t>
            </w:r>
          </w:p>
        </w:tc>
        <w:tc>
          <w:tcPr>
            <w:tcW w:w="4078" w:type="dxa"/>
            <w:vAlign w:val="center"/>
          </w:tcPr>
          <w:p w14:paraId="60BEB6D4">
            <w:pPr>
              <w:jc w:val="center"/>
              <w:rPr>
                <w:rFonts w:ascii="宋体" w:hAnsi="宋体" w:cs="宋体"/>
                <w:bCs/>
                <w:sz w:val="24"/>
                <w:szCs w:val="24"/>
              </w:rPr>
            </w:pPr>
          </w:p>
        </w:tc>
        <w:tc>
          <w:tcPr>
            <w:tcW w:w="1214" w:type="dxa"/>
            <w:vAlign w:val="center"/>
          </w:tcPr>
          <w:p w14:paraId="3045222E">
            <w:pPr>
              <w:jc w:val="center"/>
              <w:rPr>
                <w:rFonts w:ascii="宋体" w:hAnsi="宋体" w:cs="宋体"/>
                <w:bCs/>
                <w:sz w:val="24"/>
                <w:szCs w:val="24"/>
              </w:rPr>
            </w:pPr>
          </w:p>
        </w:tc>
        <w:tc>
          <w:tcPr>
            <w:tcW w:w="1091" w:type="dxa"/>
            <w:vAlign w:val="center"/>
          </w:tcPr>
          <w:p w14:paraId="66E54514">
            <w:pPr>
              <w:jc w:val="center"/>
              <w:rPr>
                <w:rFonts w:ascii="宋体" w:hAnsi="宋体" w:cs="宋体"/>
                <w:bCs/>
                <w:sz w:val="24"/>
                <w:szCs w:val="24"/>
              </w:rPr>
            </w:pPr>
          </w:p>
        </w:tc>
        <w:tc>
          <w:tcPr>
            <w:tcW w:w="1821" w:type="dxa"/>
            <w:vAlign w:val="center"/>
          </w:tcPr>
          <w:p w14:paraId="4A1A2865">
            <w:pPr>
              <w:jc w:val="center"/>
              <w:rPr>
                <w:rFonts w:ascii="宋体" w:hAnsi="宋体" w:cs="宋体"/>
                <w:bCs/>
                <w:sz w:val="24"/>
                <w:szCs w:val="24"/>
              </w:rPr>
            </w:pPr>
          </w:p>
        </w:tc>
      </w:tr>
      <w:tr w14:paraId="7B44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28F25790">
            <w:pPr>
              <w:jc w:val="center"/>
              <w:rPr>
                <w:rFonts w:ascii="宋体" w:hAnsi="宋体" w:cs="宋体"/>
                <w:bCs/>
                <w:sz w:val="24"/>
                <w:szCs w:val="24"/>
              </w:rPr>
            </w:pPr>
          </w:p>
        </w:tc>
        <w:tc>
          <w:tcPr>
            <w:tcW w:w="4078" w:type="dxa"/>
            <w:vAlign w:val="center"/>
          </w:tcPr>
          <w:p w14:paraId="0D338070">
            <w:pPr>
              <w:pStyle w:val="68"/>
              <w:ind w:left="-108"/>
              <w:jc w:val="center"/>
              <w:rPr>
                <w:rFonts w:ascii="宋体" w:hAnsi="宋体" w:cs="宋体"/>
                <w:bCs/>
                <w:szCs w:val="24"/>
              </w:rPr>
            </w:pPr>
            <w:r>
              <w:rPr>
                <w:rFonts w:hint="eastAsia" w:ascii="宋体" w:hAnsi="宋体" w:cs="宋体"/>
                <w:bCs/>
                <w:szCs w:val="24"/>
              </w:rPr>
              <w:t>其他费用</w:t>
            </w:r>
          </w:p>
        </w:tc>
        <w:tc>
          <w:tcPr>
            <w:tcW w:w="1214" w:type="dxa"/>
            <w:vAlign w:val="center"/>
          </w:tcPr>
          <w:p w14:paraId="12DF9EAD">
            <w:pPr>
              <w:jc w:val="center"/>
              <w:rPr>
                <w:rFonts w:ascii="宋体" w:hAnsi="宋体" w:cs="宋体"/>
                <w:bCs/>
                <w:sz w:val="24"/>
                <w:szCs w:val="24"/>
              </w:rPr>
            </w:pPr>
          </w:p>
        </w:tc>
        <w:tc>
          <w:tcPr>
            <w:tcW w:w="1091" w:type="dxa"/>
            <w:vAlign w:val="center"/>
          </w:tcPr>
          <w:p w14:paraId="73EE7040">
            <w:pPr>
              <w:jc w:val="center"/>
              <w:rPr>
                <w:rFonts w:ascii="宋体" w:hAnsi="宋体" w:cs="宋体"/>
                <w:bCs/>
                <w:sz w:val="24"/>
                <w:szCs w:val="24"/>
              </w:rPr>
            </w:pPr>
          </w:p>
        </w:tc>
        <w:tc>
          <w:tcPr>
            <w:tcW w:w="1821" w:type="dxa"/>
            <w:vAlign w:val="center"/>
          </w:tcPr>
          <w:p w14:paraId="47D36A6A">
            <w:pPr>
              <w:jc w:val="center"/>
              <w:rPr>
                <w:rFonts w:ascii="宋体" w:hAnsi="宋体" w:cs="宋体"/>
                <w:bCs/>
                <w:sz w:val="24"/>
                <w:szCs w:val="24"/>
              </w:rPr>
            </w:pPr>
          </w:p>
        </w:tc>
      </w:tr>
      <w:tr w14:paraId="50F1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vAlign w:val="center"/>
          </w:tcPr>
          <w:p w14:paraId="35F42679">
            <w:pPr>
              <w:jc w:val="center"/>
              <w:rPr>
                <w:rFonts w:ascii="宋体" w:hAnsi="宋体" w:cs="宋体"/>
                <w:bCs/>
                <w:sz w:val="24"/>
                <w:szCs w:val="24"/>
              </w:rPr>
            </w:pPr>
          </w:p>
        </w:tc>
        <w:tc>
          <w:tcPr>
            <w:tcW w:w="4078" w:type="dxa"/>
            <w:vAlign w:val="center"/>
          </w:tcPr>
          <w:p w14:paraId="425246FF">
            <w:pPr>
              <w:jc w:val="center"/>
              <w:rPr>
                <w:rFonts w:ascii="宋体" w:hAnsi="宋体" w:cs="宋体"/>
                <w:bCs/>
                <w:sz w:val="24"/>
                <w:szCs w:val="24"/>
              </w:rPr>
            </w:pPr>
            <w:r>
              <w:rPr>
                <w:rFonts w:hint="eastAsia" w:ascii="宋体" w:hAnsi="宋体" w:cs="宋体"/>
                <w:bCs/>
                <w:sz w:val="24"/>
                <w:szCs w:val="24"/>
              </w:rPr>
              <w:t>……</w:t>
            </w:r>
          </w:p>
        </w:tc>
        <w:tc>
          <w:tcPr>
            <w:tcW w:w="1214" w:type="dxa"/>
            <w:vAlign w:val="center"/>
          </w:tcPr>
          <w:p w14:paraId="6874E54C">
            <w:pPr>
              <w:jc w:val="center"/>
              <w:rPr>
                <w:rFonts w:ascii="宋体" w:hAnsi="宋体" w:cs="宋体"/>
                <w:bCs/>
                <w:sz w:val="24"/>
                <w:szCs w:val="24"/>
              </w:rPr>
            </w:pPr>
          </w:p>
        </w:tc>
        <w:tc>
          <w:tcPr>
            <w:tcW w:w="1091" w:type="dxa"/>
            <w:vAlign w:val="center"/>
          </w:tcPr>
          <w:p w14:paraId="0E11415F">
            <w:pPr>
              <w:jc w:val="center"/>
              <w:rPr>
                <w:rFonts w:ascii="宋体" w:hAnsi="宋体" w:cs="宋体"/>
                <w:bCs/>
                <w:sz w:val="24"/>
                <w:szCs w:val="24"/>
              </w:rPr>
            </w:pPr>
          </w:p>
        </w:tc>
        <w:tc>
          <w:tcPr>
            <w:tcW w:w="1821" w:type="dxa"/>
            <w:vAlign w:val="center"/>
          </w:tcPr>
          <w:p w14:paraId="2F511E78">
            <w:pPr>
              <w:jc w:val="center"/>
              <w:rPr>
                <w:rFonts w:ascii="宋体" w:hAnsi="宋体" w:cs="宋体"/>
                <w:bCs/>
                <w:sz w:val="24"/>
                <w:szCs w:val="24"/>
              </w:rPr>
            </w:pPr>
          </w:p>
        </w:tc>
      </w:tr>
      <w:tr w14:paraId="3726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vAlign w:val="center"/>
          </w:tcPr>
          <w:p w14:paraId="1E417796">
            <w:pPr>
              <w:jc w:val="center"/>
              <w:rPr>
                <w:rFonts w:ascii="宋体" w:hAnsi="宋体" w:cs="宋体"/>
                <w:bCs/>
                <w:sz w:val="24"/>
                <w:szCs w:val="24"/>
              </w:rPr>
            </w:pPr>
            <w:r>
              <w:rPr>
                <w:rFonts w:hint="eastAsia" w:ascii="宋体" w:hAnsi="宋体" w:cs="宋体"/>
                <w:b/>
                <w:sz w:val="24"/>
                <w:szCs w:val="24"/>
              </w:rPr>
              <w:t>合计金额（元）</w:t>
            </w:r>
          </w:p>
        </w:tc>
        <w:tc>
          <w:tcPr>
            <w:tcW w:w="1821" w:type="dxa"/>
            <w:vAlign w:val="center"/>
          </w:tcPr>
          <w:p w14:paraId="184A8CE9">
            <w:pPr>
              <w:jc w:val="center"/>
              <w:rPr>
                <w:rFonts w:ascii="宋体" w:hAnsi="宋体" w:cs="宋体"/>
                <w:bCs/>
                <w:sz w:val="24"/>
                <w:szCs w:val="24"/>
              </w:rPr>
            </w:pPr>
          </w:p>
        </w:tc>
      </w:tr>
    </w:tbl>
    <w:p w14:paraId="7E5E1B22">
      <w:pPr>
        <w:pStyle w:val="18"/>
        <w:spacing w:line="360" w:lineRule="auto"/>
        <w:rPr>
          <w:rFonts w:ascii="宋体" w:hAnsi="宋体" w:eastAsia="宋体" w:cs="宋体"/>
          <w:b/>
          <w:bCs/>
          <w:sz w:val="24"/>
        </w:rPr>
      </w:pPr>
    </w:p>
    <w:p w14:paraId="33102897">
      <w:pPr>
        <w:pStyle w:val="18"/>
        <w:spacing w:line="560" w:lineRule="exact"/>
        <w:rPr>
          <w:rFonts w:ascii="宋体" w:hAnsi="宋体" w:eastAsia="宋体" w:cs="宋体"/>
          <w:b/>
          <w:bCs/>
          <w:sz w:val="24"/>
          <w:szCs w:val="28"/>
        </w:rPr>
      </w:pPr>
      <w:r>
        <w:rPr>
          <w:rFonts w:hint="eastAsia" w:ascii="宋体" w:hAnsi="宋体" w:eastAsia="宋体" w:cs="宋体"/>
          <w:b/>
          <w:bCs/>
          <w:sz w:val="24"/>
        </w:rPr>
        <w:t>供应商电子签章：</w:t>
      </w:r>
    </w:p>
    <w:p w14:paraId="2F01ABF0">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6A536C92">
      <w:pPr>
        <w:adjustRightInd w:val="0"/>
        <w:snapToGrid w:val="0"/>
        <w:spacing w:line="360" w:lineRule="auto"/>
        <w:rPr>
          <w:rFonts w:ascii="宋体" w:hAnsi="宋体" w:cs="宋体"/>
          <w:b/>
          <w:bCs/>
          <w:sz w:val="24"/>
          <w:szCs w:val="28"/>
        </w:rPr>
      </w:pPr>
    </w:p>
    <w:p w14:paraId="371435B7">
      <w:pPr>
        <w:adjustRightInd w:val="0"/>
        <w:snapToGrid w:val="0"/>
        <w:spacing w:line="360" w:lineRule="auto"/>
        <w:rPr>
          <w:rFonts w:ascii="宋体" w:hAnsi="宋体" w:cs="宋体"/>
          <w:b/>
          <w:sz w:val="24"/>
          <w:szCs w:val="24"/>
        </w:rPr>
      </w:pPr>
      <w:bookmarkStart w:id="51" w:name="_Toc2007"/>
      <w:bookmarkStart w:id="52" w:name="_Toc16998"/>
    </w:p>
    <w:p w14:paraId="6FD90951">
      <w:pPr>
        <w:adjustRightInd w:val="0"/>
        <w:snapToGrid w:val="0"/>
        <w:spacing w:line="360" w:lineRule="auto"/>
        <w:rPr>
          <w:rFonts w:ascii="宋体" w:hAnsi="宋体" w:cs="宋体"/>
          <w:b/>
          <w:sz w:val="24"/>
          <w:szCs w:val="24"/>
        </w:rPr>
      </w:pPr>
      <w:r>
        <w:rPr>
          <w:rFonts w:hint="eastAsia" w:ascii="宋体" w:hAnsi="宋体" w:cs="宋体"/>
          <w:b/>
          <w:sz w:val="24"/>
          <w:szCs w:val="24"/>
        </w:rPr>
        <w:t>注：表中所列服务为对应本项目需求的全部服务内容。如有漏项或缺项，供应商承担全部责任。</w:t>
      </w:r>
    </w:p>
    <w:p w14:paraId="0936F0D2">
      <w:pPr>
        <w:pStyle w:val="3"/>
        <w:wordWrap w:val="0"/>
        <w:spacing w:before="0" w:after="0" w:line="520" w:lineRule="exact"/>
        <w:rPr>
          <w:rFonts w:ascii="宋体" w:hAnsi="宋体" w:eastAsia="宋体" w:cs="宋体"/>
          <w:sz w:val="24"/>
          <w:szCs w:val="24"/>
        </w:rPr>
      </w:pPr>
    </w:p>
    <w:p w14:paraId="0A22D846">
      <w:pPr>
        <w:pStyle w:val="3"/>
        <w:wordWrap w:val="0"/>
        <w:spacing w:before="0" w:after="0" w:line="520" w:lineRule="exact"/>
        <w:rPr>
          <w:rFonts w:ascii="宋体" w:hAnsi="宋体" w:eastAsia="宋体" w:cs="宋体"/>
          <w:sz w:val="24"/>
          <w:szCs w:val="24"/>
        </w:rPr>
      </w:pPr>
    </w:p>
    <w:p w14:paraId="7D242B86">
      <w:pPr>
        <w:pStyle w:val="3"/>
        <w:wordWrap w:val="0"/>
        <w:spacing w:before="0" w:after="0" w:line="520" w:lineRule="exact"/>
        <w:rPr>
          <w:rFonts w:ascii="宋体" w:hAnsi="宋体" w:eastAsia="宋体" w:cs="宋体"/>
          <w:sz w:val="24"/>
          <w:szCs w:val="24"/>
        </w:rPr>
      </w:pPr>
    </w:p>
    <w:p w14:paraId="295D6BA7">
      <w:pPr>
        <w:pStyle w:val="3"/>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53" w:name="_Toc5394"/>
      <w:r>
        <w:rPr>
          <w:rFonts w:hint="eastAsia" w:ascii="宋体" w:hAnsi="宋体" w:eastAsia="宋体" w:cs="宋体"/>
          <w:sz w:val="24"/>
          <w:szCs w:val="24"/>
        </w:rPr>
        <w:t>附件二</w:t>
      </w:r>
      <w:bookmarkEnd w:id="51"/>
      <w:bookmarkEnd w:id="52"/>
      <w:bookmarkEnd w:id="53"/>
    </w:p>
    <w:p w14:paraId="08D0921D">
      <w:pPr>
        <w:pStyle w:val="3"/>
        <w:spacing w:before="0" w:after="0" w:line="520" w:lineRule="exact"/>
        <w:jc w:val="center"/>
        <w:rPr>
          <w:rFonts w:ascii="宋体" w:hAnsi="宋体" w:eastAsia="宋体" w:cs="宋体"/>
          <w:sz w:val="24"/>
          <w:szCs w:val="24"/>
        </w:rPr>
      </w:pPr>
      <w:bookmarkStart w:id="54" w:name="_Toc30073"/>
      <w:bookmarkStart w:id="55" w:name="_Toc17280"/>
      <w:bookmarkStart w:id="56" w:name="_Toc10648"/>
      <w:bookmarkStart w:id="57" w:name="_Toc3262"/>
      <w:bookmarkStart w:id="58" w:name="_Toc29464"/>
      <w:r>
        <w:rPr>
          <w:rFonts w:hint="eastAsia" w:ascii="宋体" w:hAnsi="宋体" w:eastAsia="宋体" w:cs="宋体"/>
          <w:sz w:val="24"/>
          <w:szCs w:val="24"/>
        </w:rPr>
        <w:t>供应商基本信息</w:t>
      </w:r>
      <w:bookmarkEnd w:id="54"/>
      <w:bookmarkEnd w:id="55"/>
      <w:bookmarkEnd w:id="56"/>
      <w:bookmarkEnd w:id="57"/>
      <w:bookmarkEnd w:id="58"/>
    </w:p>
    <w:p w14:paraId="3262E35B">
      <w:pPr>
        <w:pStyle w:val="33"/>
        <w:spacing w:after="0" w:line="520" w:lineRule="exact"/>
        <w:ind w:firstLine="0"/>
        <w:jc w:val="center"/>
        <w:rPr>
          <w:rFonts w:ascii="宋体" w:hAnsi="宋体" w:cs="宋体"/>
        </w:rPr>
      </w:pPr>
      <w:r>
        <w:rPr>
          <w:rFonts w:hint="eastAsia" w:ascii="宋体" w:hAnsi="宋体" w:cs="宋体"/>
        </w:rPr>
        <w:t>（自行上传市场主体信息库信息）</w:t>
      </w:r>
    </w:p>
    <w:p w14:paraId="4EAFF10E">
      <w:pPr>
        <w:pStyle w:val="3"/>
        <w:wordWrap w:val="0"/>
        <w:spacing w:before="0" w:after="0" w:line="520" w:lineRule="exact"/>
        <w:rPr>
          <w:rFonts w:ascii="宋体" w:hAnsi="宋体" w:eastAsia="宋体" w:cs="宋体"/>
          <w:sz w:val="24"/>
          <w:szCs w:val="24"/>
        </w:rPr>
      </w:pPr>
      <w:bookmarkStart w:id="59" w:name="_Toc18369"/>
      <w:bookmarkStart w:id="60" w:name="_Toc2009"/>
      <w:bookmarkStart w:id="61" w:name="_Toc11062"/>
      <w:r>
        <w:rPr>
          <w:rFonts w:hint="eastAsia" w:ascii="宋体" w:hAnsi="宋体" w:eastAsia="宋体" w:cs="宋体"/>
          <w:sz w:val="24"/>
          <w:szCs w:val="24"/>
        </w:rPr>
        <w:t>附件三</w:t>
      </w:r>
      <w:bookmarkEnd w:id="59"/>
      <w:bookmarkEnd w:id="60"/>
      <w:bookmarkEnd w:id="61"/>
    </w:p>
    <w:p w14:paraId="3C2CFABA">
      <w:pPr>
        <w:pStyle w:val="3"/>
        <w:spacing w:before="0" w:after="0" w:line="520" w:lineRule="exact"/>
        <w:jc w:val="center"/>
        <w:rPr>
          <w:rFonts w:ascii="宋体" w:hAnsi="宋体" w:eastAsia="宋体" w:cs="宋体"/>
          <w:sz w:val="24"/>
          <w:szCs w:val="24"/>
        </w:rPr>
      </w:pPr>
      <w:bookmarkStart w:id="62" w:name="_Toc13141"/>
      <w:bookmarkStart w:id="63" w:name="_Toc28395"/>
      <w:bookmarkStart w:id="64" w:name="_Toc10696"/>
      <w:bookmarkStart w:id="65" w:name="_Toc967"/>
      <w:bookmarkStart w:id="66" w:name="_Toc30135"/>
      <w:r>
        <w:rPr>
          <w:rFonts w:hint="eastAsia" w:ascii="宋体" w:hAnsi="宋体" w:eastAsia="宋体" w:cs="宋体"/>
          <w:sz w:val="24"/>
          <w:szCs w:val="24"/>
        </w:rPr>
        <w:t>磋商授权书</w:t>
      </w:r>
      <w:bookmarkEnd w:id="62"/>
      <w:bookmarkEnd w:id="63"/>
      <w:bookmarkEnd w:id="64"/>
      <w:bookmarkEnd w:id="65"/>
      <w:bookmarkEnd w:id="66"/>
    </w:p>
    <w:p w14:paraId="59DD8F8A">
      <w:pPr>
        <w:spacing w:line="520" w:lineRule="exact"/>
        <w:rPr>
          <w:rFonts w:ascii="宋体" w:hAnsi="宋体" w:cs="宋体"/>
          <w:sz w:val="24"/>
          <w:szCs w:val="24"/>
        </w:rPr>
      </w:pPr>
    </w:p>
    <w:p w14:paraId="37E99C14">
      <w:pPr>
        <w:spacing w:line="520" w:lineRule="exact"/>
        <w:jc w:val="left"/>
        <w:rPr>
          <w:rFonts w:ascii="宋体" w:hAnsi="宋体" w:cs="宋体"/>
          <w:sz w:val="24"/>
          <w:szCs w:val="24"/>
        </w:rPr>
      </w:pPr>
      <w:r>
        <w:rPr>
          <w:rFonts w:hint="eastAsia" w:ascii="宋体" w:hAnsi="宋体" w:cs="宋体"/>
          <w:sz w:val="24"/>
          <w:szCs w:val="24"/>
        </w:rPr>
        <w:t>致：_________________</w:t>
      </w:r>
    </w:p>
    <w:p w14:paraId="52685FCA">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60B8851D">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34608907">
      <w:pPr>
        <w:spacing w:line="520" w:lineRule="exact"/>
        <w:jc w:val="left"/>
        <w:rPr>
          <w:rFonts w:ascii="宋体" w:hAnsi="宋体" w:cs="宋体"/>
          <w:sz w:val="24"/>
          <w:szCs w:val="24"/>
        </w:rPr>
      </w:pPr>
    </w:p>
    <w:p w14:paraId="4B19B817">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sz w:val="24"/>
          <w:szCs w:val="24"/>
          <w:u w:val="single"/>
        </w:rPr>
        <w:t xml:space="preserve">                            </w:t>
      </w:r>
    </w:p>
    <w:p w14:paraId="20C98DAE">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11CE258A">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DADCFDD">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6F6E3A87">
      <w:pPr>
        <w:spacing w:line="520" w:lineRule="exact"/>
        <w:ind w:firstLine="1084" w:firstLineChars="450"/>
        <w:jc w:val="left"/>
        <w:rPr>
          <w:rFonts w:ascii="宋体" w:hAnsi="宋体" w:cs="宋体"/>
          <w:b/>
          <w:bCs/>
          <w:sz w:val="24"/>
          <w:szCs w:val="24"/>
        </w:rPr>
      </w:pPr>
    </w:p>
    <w:p w14:paraId="754ED4AB">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sz w:val="24"/>
          <w:szCs w:val="24"/>
          <w:u w:val="single"/>
        </w:rPr>
        <w:t xml:space="preserve">                     </w:t>
      </w:r>
    </w:p>
    <w:p w14:paraId="1FFACD0C">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4E6683A7">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6AE15954">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2E592E3E">
      <w:pPr>
        <w:spacing w:line="520" w:lineRule="exact"/>
        <w:jc w:val="left"/>
        <w:rPr>
          <w:rFonts w:ascii="宋体" w:hAnsi="宋体" w:cs="宋体"/>
          <w:sz w:val="24"/>
          <w:szCs w:val="24"/>
        </w:rPr>
      </w:pPr>
    </w:p>
    <w:p w14:paraId="0492EE53">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60DEB68D">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供应商电子签章：</w:t>
      </w:r>
    </w:p>
    <w:p w14:paraId="724AE316">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14B21764">
      <w:pPr>
        <w:pStyle w:val="3"/>
        <w:spacing w:before="0" w:after="0" w:line="560" w:lineRule="exact"/>
        <w:rPr>
          <w:rFonts w:ascii="宋体" w:hAnsi="宋体" w:eastAsia="宋体" w:cs="宋体"/>
          <w:sz w:val="24"/>
          <w:szCs w:val="24"/>
        </w:rPr>
      </w:pPr>
      <w:bookmarkStart w:id="67" w:name="_Toc17226"/>
      <w:bookmarkStart w:id="68" w:name="_Toc23589"/>
      <w:r>
        <w:rPr>
          <w:rFonts w:hint="eastAsia" w:ascii="宋体" w:hAnsi="宋体" w:eastAsia="宋体" w:cs="宋体"/>
          <w:sz w:val="24"/>
          <w:szCs w:val="24"/>
        </w:rPr>
        <w:br w:type="page"/>
      </w:r>
      <w:bookmarkStart w:id="69" w:name="_Toc19802"/>
      <w:r>
        <w:rPr>
          <w:rFonts w:hint="eastAsia" w:ascii="宋体" w:hAnsi="宋体" w:eastAsia="宋体" w:cs="宋体"/>
          <w:sz w:val="24"/>
          <w:szCs w:val="24"/>
        </w:rPr>
        <w:t>附件四</w:t>
      </w:r>
      <w:bookmarkEnd w:id="67"/>
      <w:bookmarkEnd w:id="68"/>
      <w:bookmarkEnd w:id="69"/>
    </w:p>
    <w:p w14:paraId="5B7C6F09">
      <w:pPr>
        <w:pStyle w:val="3"/>
        <w:spacing w:before="0" w:after="156" w:afterLines="50" w:line="560" w:lineRule="exact"/>
        <w:jc w:val="center"/>
        <w:rPr>
          <w:rFonts w:ascii="宋体" w:hAnsi="宋体" w:eastAsia="宋体" w:cs="宋体"/>
          <w:sz w:val="24"/>
          <w:szCs w:val="24"/>
        </w:rPr>
      </w:pPr>
      <w:bookmarkStart w:id="70" w:name="_Toc6278"/>
      <w:bookmarkStart w:id="71" w:name="_Toc29263"/>
      <w:bookmarkStart w:id="72" w:name="_Toc29759"/>
      <w:bookmarkStart w:id="73" w:name="_Toc28665"/>
      <w:bookmarkStart w:id="74" w:name="_Toc417045478"/>
      <w:r>
        <w:rPr>
          <w:rFonts w:hint="eastAsia" w:ascii="宋体" w:hAnsi="宋体" w:eastAsia="宋体" w:cs="宋体"/>
          <w:sz w:val="24"/>
          <w:szCs w:val="24"/>
        </w:rPr>
        <w:t>磋商响应函</w:t>
      </w:r>
      <w:bookmarkEnd w:id="70"/>
      <w:bookmarkEnd w:id="71"/>
      <w:bookmarkEnd w:id="72"/>
      <w:bookmarkEnd w:id="73"/>
    </w:p>
    <w:p w14:paraId="0AC49967">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eastAsia="zh-CN"/>
        </w:rPr>
        <w:t>采购人</w:t>
      </w:r>
      <w:r>
        <w:rPr>
          <w:rFonts w:hint="eastAsia" w:ascii="宋体" w:hAnsi="宋体" w:cs="宋体"/>
          <w:sz w:val="24"/>
          <w:szCs w:val="24"/>
        </w:rPr>
        <w:t>名称）</w:t>
      </w:r>
    </w:p>
    <w:p w14:paraId="1E9D8A76">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28EB33F2">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26879EE7">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5BF9ABBA">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41309036">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7D487204">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49988A95">
      <w:pPr>
        <w:tabs>
          <w:tab w:val="left" w:pos="0"/>
          <w:tab w:val="left" w:pos="840"/>
        </w:tabs>
        <w:spacing w:line="360" w:lineRule="auto"/>
        <w:jc w:val="left"/>
        <w:rPr>
          <w:rFonts w:ascii="宋体" w:hAnsi="宋体" w:cs="宋体"/>
          <w:sz w:val="24"/>
          <w:szCs w:val="24"/>
        </w:rPr>
      </w:pPr>
    </w:p>
    <w:p w14:paraId="7918A6D0">
      <w:pPr>
        <w:tabs>
          <w:tab w:val="left" w:pos="0"/>
          <w:tab w:val="left" w:pos="840"/>
        </w:tabs>
        <w:rPr>
          <w:rFonts w:ascii="宋体" w:hAnsi="宋体" w:cs="宋体"/>
          <w:sz w:val="24"/>
          <w:szCs w:val="24"/>
        </w:rPr>
      </w:pPr>
    </w:p>
    <w:p w14:paraId="1F9C6662">
      <w:pPr>
        <w:tabs>
          <w:tab w:val="left" w:pos="0"/>
          <w:tab w:val="left" w:pos="840"/>
        </w:tabs>
        <w:rPr>
          <w:rFonts w:ascii="宋体" w:hAnsi="宋体" w:cs="宋体"/>
          <w:sz w:val="24"/>
          <w:szCs w:val="24"/>
        </w:rPr>
      </w:pPr>
    </w:p>
    <w:p w14:paraId="4611F4C6">
      <w:pPr>
        <w:tabs>
          <w:tab w:val="left" w:pos="0"/>
          <w:tab w:val="left" w:pos="840"/>
        </w:tabs>
        <w:rPr>
          <w:rFonts w:ascii="宋体" w:hAnsi="宋体" w:cs="宋体"/>
          <w:sz w:val="24"/>
          <w:szCs w:val="24"/>
        </w:rPr>
      </w:pPr>
    </w:p>
    <w:p w14:paraId="79C6C0F3">
      <w:pPr>
        <w:tabs>
          <w:tab w:val="left" w:pos="0"/>
          <w:tab w:val="left" w:pos="840"/>
        </w:tabs>
        <w:rPr>
          <w:rFonts w:ascii="宋体" w:hAnsi="宋体" w:cs="宋体"/>
          <w:sz w:val="24"/>
          <w:szCs w:val="24"/>
        </w:rPr>
      </w:pPr>
    </w:p>
    <w:p w14:paraId="456CDF2E">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供应商电子签章：</w:t>
      </w:r>
    </w:p>
    <w:p w14:paraId="0C8B7F58">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510A6678">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75" w:name="_Toc419"/>
      <w:bookmarkStart w:id="76" w:name="_Toc30354"/>
      <w:bookmarkStart w:id="77" w:name="_Toc21593"/>
      <w:r>
        <w:rPr>
          <w:rFonts w:hint="eastAsia" w:ascii="宋体" w:hAnsi="宋体" w:eastAsia="宋体" w:cs="宋体"/>
          <w:sz w:val="24"/>
          <w:szCs w:val="24"/>
        </w:rPr>
        <w:t>附件</w:t>
      </w:r>
      <w:bookmarkEnd w:id="74"/>
      <w:r>
        <w:rPr>
          <w:rFonts w:hint="eastAsia" w:ascii="宋体" w:hAnsi="宋体" w:eastAsia="宋体" w:cs="宋体"/>
          <w:sz w:val="24"/>
          <w:szCs w:val="24"/>
        </w:rPr>
        <w:t>五</w:t>
      </w:r>
      <w:bookmarkEnd w:id="75"/>
      <w:bookmarkEnd w:id="76"/>
      <w:bookmarkEnd w:id="77"/>
    </w:p>
    <w:p w14:paraId="5A6E6553">
      <w:pPr>
        <w:pStyle w:val="33"/>
        <w:ind w:firstLine="281"/>
        <w:rPr>
          <w:b/>
          <w:sz w:val="28"/>
          <w:szCs w:val="28"/>
        </w:rPr>
      </w:pPr>
      <w:bookmarkStart w:id="78" w:name="_Toc10256"/>
      <w:bookmarkStart w:id="79" w:name="_Toc26949"/>
      <w:bookmarkStart w:id="80" w:name="_Toc26881"/>
    </w:p>
    <w:p w14:paraId="5BAF5394">
      <w:pPr>
        <w:pStyle w:val="33"/>
        <w:ind w:firstLine="2891" w:firstLineChars="1200"/>
        <w:rPr>
          <w:rFonts w:ascii="宋体" w:hAnsi="宋体" w:cs="宋体"/>
          <w:b/>
          <w:szCs w:val="24"/>
          <w:lang w:val="zh-CN"/>
        </w:rPr>
      </w:pPr>
      <w:bookmarkStart w:id="81" w:name="_Hlk77793942"/>
      <w:r>
        <w:rPr>
          <w:rFonts w:hint="eastAsia" w:ascii="宋体" w:hAnsi="宋体" w:cs="宋体"/>
          <w:b/>
          <w:szCs w:val="24"/>
          <w:lang w:val="zh-CN"/>
        </w:rPr>
        <w:t>无重大违法记录声明函</w:t>
      </w:r>
    </w:p>
    <w:p w14:paraId="4A4765EF">
      <w:pPr>
        <w:pStyle w:val="33"/>
        <w:ind w:firstLine="480" w:firstLineChars="200"/>
        <w:rPr>
          <w:rFonts w:ascii="宋体" w:hAnsi="宋体"/>
          <w:szCs w:val="24"/>
        </w:rPr>
      </w:pPr>
      <w:bookmarkStart w:id="82"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23E974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4A40111">
      <w:pPr>
        <w:spacing w:line="360" w:lineRule="auto"/>
        <w:ind w:firstLine="435"/>
        <w:rPr>
          <w:rFonts w:ascii="宋体" w:hAnsi="宋体"/>
          <w:sz w:val="24"/>
          <w:szCs w:val="24"/>
        </w:rPr>
      </w:pPr>
    </w:p>
    <w:p w14:paraId="24885744">
      <w:pPr>
        <w:spacing w:line="360" w:lineRule="auto"/>
        <w:ind w:firstLine="5428" w:firstLineChars="2262"/>
        <w:rPr>
          <w:rFonts w:ascii="宋体" w:hAnsi="宋体"/>
          <w:bCs/>
          <w:sz w:val="24"/>
          <w:szCs w:val="24"/>
          <w:u w:val="single"/>
        </w:rPr>
      </w:pPr>
      <w:r>
        <w:rPr>
          <w:rFonts w:hint="eastAsia" w:ascii="宋体" w:hAnsi="宋体"/>
          <w:bCs/>
          <w:sz w:val="24"/>
          <w:szCs w:val="24"/>
        </w:rPr>
        <w:t>供应商电子签章：</w:t>
      </w:r>
    </w:p>
    <w:p w14:paraId="02C46608">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2"/>
    <w:p w14:paraId="11CE1033">
      <w:pPr>
        <w:pStyle w:val="33"/>
        <w:ind w:firstLine="210"/>
      </w:pPr>
    </w:p>
    <w:p w14:paraId="24C178FD">
      <w:pPr>
        <w:pStyle w:val="33"/>
        <w:ind w:firstLine="210"/>
      </w:pPr>
    </w:p>
    <w:p w14:paraId="1A4EC0AF">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76C597B">
      <w:pPr>
        <w:spacing w:line="360" w:lineRule="auto"/>
        <w:ind w:firstLine="435"/>
        <w:rPr>
          <w:rFonts w:ascii="宋体" w:hAnsi="宋体"/>
          <w:sz w:val="24"/>
          <w:szCs w:val="24"/>
        </w:rPr>
      </w:pPr>
      <w:bookmarkStart w:id="83" w:name="_Hlk77794010"/>
      <w:r>
        <w:rPr>
          <w:rFonts w:hint="eastAsia" w:ascii="宋体" w:hAnsi="宋体"/>
          <w:sz w:val="24"/>
          <w:szCs w:val="24"/>
        </w:rPr>
        <w:t>本公司郑重承诺，我公司无以下不良信用记录情形：</w:t>
      </w:r>
    </w:p>
    <w:p w14:paraId="5B0A42BF">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40C47238">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1C6BED6D">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3F180D09">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19950737">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2E88A392">
      <w:pPr>
        <w:tabs>
          <w:tab w:val="left" w:pos="630"/>
        </w:tabs>
        <w:spacing w:line="360" w:lineRule="auto"/>
        <w:ind w:firstLine="630"/>
        <w:rPr>
          <w:rFonts w:ascii="宋体" w:hAnsi="宋体"/>
          <w:sz w:val="24"/>
          <w:szCs w:val="24"/>
        </w:rPr>
      </w:pPr>
    </w:p>
    <w:p w14:paraId="26DF21F3">
      <w:pPr>
        <w:spacing w:line="360" w:lineRule="auto"/>
        <w:ind w:firstLine="5428" w:firstLineChars="2262"/>
        <w:rPr>
          <w:rFonts w:ascii="宋体" w:hAnsi="宋体"/>
          <w:bCs/>
          <w:sz w:val="24"/>
          <w:szCs w:val="24"/>
          <w:u w:val="single"/>
        </w:rPr>
      </w:pPr>
      <w:r>
        <w:rPr>
          <w:rFonts w:hint="eastAsia" w:ascii="宋体" w:hAnsi="宋体"/>
          <w:bCs/>
          <w:sz w:val="24"/>
          <w:szCs w:val="24"/>
        </w:rPr>
        <w:t>供应商电子签章：</w:t>
      </w:r>
    </w:p>
    <w:p w14:paraId="3999AFEE">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bookmarkEnd w:id="78"/>
      <w:bookmarkEnd w:id="79"/>
      <w:bookmarkEnd w:id="80"/>
      <w:bookmarkEnd w:id="81"/>
      <w:bookmarkEnd w:id="83"/>
      <w:bookmarkStart w:id="84" w:name="_Toc363199274"/>
      <w:r>
        <w:rPr>
          <w:rFonts w:hint="eastAsia" w:ascii="宋体" w:hAnsi="宋体" w:cs="宋体"/>
          <w:sz w:val="24"/>
          <w:szCs w:val="24"/>
        </w:rPr>
        <w:br w:type="page"/>
      </w:r>
      <w:bookmarkStart w:id="85" w:name="_Toc18709"/>
      <w:bookmarkStart w:id="86" w:name="_Toc20743"/>
      <w:r>
        <w:rPr>
          <w:rStyle w:val="114"/>
          <w:rFonts w:hint="eastAsia" w:ascii="宋体" w:hAnsi="宋体" w:eastAsia="宋体" w:cs="宋体"/>
          <w:sz w:val="24"/>
          <w:szCs w:val="24"/>
        </w:rPr>
        <w:t>附件</w:t>
      </w:r>
      <w:bookmarkEnd w:id="84"/>
      <w:r>
        <w:rPr>
          <w:rStyle w:val="114"/>
          <w:rFonts w:hint="eastAsia" w:ascii="宋体" w:hAnsi="宋体" w:eastAsia="宋体" w:cs="宋体"/>
          <w:sz w:val="24"/>
          <w:szCs w:val="24"/>
        </w:rPr>
        <w:t>六</w:t>
      </w:r>
      <w:bookmarkEnd w:id="85"/>
      <w:bookmarkEnd w:id="86"/>
    </w:p>
    <w:p w14:paraId="5A6641A3">
      <w:pPr>
        <w:pStyle w:val="3"/>
        <w:spacing w:before="0" w:after="0" w:line="560" w:lineRule="exact"/>
        <w:jc w:val="center"/>
        <w:rPr>
          <w:rFonts w:ascii="宋体" w:hAnsi="宋体" w:eastAsia="宋体" w:cs="宋体"/>
          <w:sz w:val="24"/>
          <w:szCs w:val="24"/>
          <w:lang w:val="zh-CN"/>
        </w:rPr>
      </w:pPr>
      <w:bookmarkStart w:id="87" w:name="_Toc18402"/>
      <w:bookmarkStart w:id="88" w:name="_Toc27754"/>
      <w:bookmarkStart w:id="89" w:name="_Toc30075"/>
      <w:bookmarkStart w:id="90" w:name="_Toc25238"/>
      <w:r>
        <w:rPr>
          <w:rFonts w:hint="eastAsia" w:ascii="宋体" w:hAnsi="宋体" w:eastAsia="宋体" w:cs="宋体"/>
          <w:sz w:val="24"/>
          <w:szCs w:val="24"/>
          <w:lang w:val="zh-CN"/>
        </w:rPr>
        <w:t>响应情况表</w:t>
      </w:r>
      <w:bookmarkEnd w:id="87"/>
      <w:bookmarkEnd w:id="88"/>
      <w:bookmarkEnd w:id="89"/>
      <w:bookmarkEnd w:id="90"/>
    </w:p>
    <w:p w14:paraId="15A18945">
      <w:pPr>
        <w:jc w:val="center"/>
        <w:rPr>
          <w:rFonts w:ascii="宋体" w:hAnsi="宋体" w:cs="宋体"/>
          <w:bCs/>
          <w:sz w:val="24"/>
          <w:szCs w:val="24"/>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3565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F0E4355">
            <w:pPr>
              <w:jc w:val="center"/>
              <w:rPr>
                <w:rFonts w:ascii="宋体" w:hAnsi="宋体" w:cs="宋体"/>
                <w:b/>
                <w:sz w:val="24"/>
                <w:szCs w:val="21"/>
              </w:rPr>
            </w:pPr>
            <w:bookmarkStart w:id="91" w:name="_Toc471299110"/>
            <w:r>
              <w:rPr>
                <w:rFonts w:hint="eastAsia" w:ascii="宋体" w:hAnsi="宋体" w:cs="宋体"/>
                <w:b/>
                <w:sz w:val="24"/>
                <w:szCs w:val="21"/>
              </w:rPr>
              <w:t>按磋商文件规定填写</w:t>
            </w:r>
          </w:p>
        </w:tc>
        <w:tc>
          <w:tcPr>
            <w:tcW w:w="4200" w:type="dxa"/>
            <w:gridSpan w:val="2"/>
            <w:vAlign w:val="center"/>
          </w:tcPr>
          <w:p w14:paraId="63943844">
            <w:pPr>
              <w:jc w:val="center"/>
              <w:rPr>
                <w:rFonts w:ascii="宋体" w:hAnsi="宋体" w:cs="宋体"/>
                <w:b/>
                <w:sz w:val="24"/>
                <w:szCs w:val="21"/>
              </w:rPr>
            </w:pPr>
            <w:r>
              <w:rPr>
                <w:rFonts w:hint="eastAsia" w:ascii="宋体" w:hAnsi="宋体" w:cs="宋体"/>
                <w:b/>
                <w:sz w:val="24"/>
                <w:szCs w:val="21"/>
              </w:rPr>
              <w:t>按供应商所投内容填写</w:t>
            </w:r>
          </w:p>
        </w:tc>
      </w:tr>
      <w:tr w14:paraId="2374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1747580">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5E563DE6">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14E7612B">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72800CD9">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4D171EFE">
            <w:pPr>
              <w:jc w:val="center"/>
              <w:rPr>
                <w:rFonts w:ascii="宋体" w:hAnsi="宋体" w:cs="宋体"/>
                <w:b/>
                <w:sz w:val="24"/>
                <w:szCs w:val="21"/>
              </w:rPr>
            </w:pPr>
            <w:r>
              <w:rPr>
                <w:rFonts w:hint="eastAsia" w:ascii="宋体" w:hAnsi="宋体" w:cs="宋体"/>
                <w:b/>
                <w:sz w:val="24"/>
                <w:szCs w:val="21"/>
              </w:rPr>
              <w:t>偏离说明</w:t>
            </w:r>
          </w:p>
        </w:tc>
      </w:tr>
      <w:tr w14:paraId="1FF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3D111B">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4786E36F">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10E3C802">
            <w:pPr>
              <w:rPr>
                <w:rFonts w:ascii="宋体" w:hAnsi="宋体" w:cs="宋体"/>
                <w:sz w:val="24"/>
                <w:szCs w:val="24"/>
              </w:rPr>
            </w:pPr>
          </w:p>
        </w:tc>
        <w:tc>
          <w:tcPr>
            <w:tcW w:w="2222" w:type="dxa"/>
            <w:vAlign w:val="center"/>
          </w:tcPr>
          <w:p w14:paraId="33EA6133">
            <w:pPr>
              <w:rPr>
                <w:rFonts w:ascii="宋体" w:hAnsi="宋体" w:cs="宋体"/>
                <w:sz w:val="24"/>
                <w:szCs w:val="24"/>
              </w:rPr>
            </w:pPr>
          </w:p>
        </w:tc>
        <w:tc>
          <w:tcPr>
            <w:tcW w:w="1978" w:type="dxa"/>
            <w:vAlign w:val="center"/>
          </w:tcPr>
          <w:p w14:paraId="57C86FC3">
            <w:pPr>
              <w:rPr>
                <w:rFonts w:ascii="宋体" w:hAnsi="宋体" w:cs="宋体"/>
                <w:sz w:val="24"/>
                <w:szCs w:val="24"/>
              </w:rPr>
            </w:pPr>
          </w:p>
        </w:tc>
      </w:tr>
      <w:tr w14:paraId="1319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774ADD9">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1F2ACA15">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69E3B980">
            <w:pPr>
              <w:rPr>
                <w:rFonts w:ascii="宋体" w:hAnsi="宋体" w:cs="宋体"/>
                <w:sz w:val="24"/>
                <w:szCs w:val="24"/>
              </w:rPr>
            </w:pPr>
          </w:p>
        </w:tc>
        <w:tc>
          <w:tcPr>
            <w:tcW w:w="2222" w:type="dxa"/>
            <w:vAlign w:val="center"/>
          </w:tcPr>
          <w:p w14:paraId="2321B8A4">
            <w:pPr>
              <w:rPr>
                <w:rFonts w:ascii="宋体" w:hAnsi="宋体" w:cs="宋体"/>
                <w:sz w:val="24"/>
                <w:szCs w:val="24"/>
              </w:rPr>
            </w:pPr>
          </w:p>
        </w:tc>
        <w:tc>
          <w:tcPr>
            <w:tcW w:w="1978" w:type="dxa"/>
            <w:vAlign w:val="center"/>
          </w:tcPr>
          <w:p w14:paraId="57F1DD62">
            <w:pPr>
              <w:rPr>
                <w:rFonts w:ascii="宋体" w:hAnsi="宋体" w:cs="宋体"/>
                <w:sz w:val="24"/>
                <w:szCs w:val="24"/>
              </w:rPr>
            </w:pPr>
          </w:p>
        </w:tc>
      </w:tr>
      <w:tr w14:paraId="3793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726155E">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6E801E97">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71BBB938">
            <w:pPr>
              <w:rPr>
                <w:rFonts w:ascii="宋体" w:hAnsi="宋体" w:cs="宋体"/>
                <w:sz w:val="24"/>
                <w:szCs w:val="24"/>
              </w:rPr>
            </w:pPr>
          </w:p>
        </w:tc>
        <w:tc>
          <w:tcPr>
            <w:tcW w:w="2222" w:type="dxa"/>
            <w:vAlign w:val="center"/>
          </w:tcPr>
          <w:p w14:paraId="042DF677">
            <w:pPr>
              <w:rPr>
                <w:rFonts w:ascii="宋体" w:hAnsi="宋体" w:cs="宋体"/>
                <w:sz w:val="24"/>
                <w:szCs w:val="24"/>
              </w:rPr>
            </w:pPr>
          </w:p>
        </w:tc>
        <w:tc>
          <w:tcPr>
            <w:tcW w:w="1978" w:type="dxa"/>
            <w:vAlign w:val="center"/>
          </w:tcPr>
          <w:p w14:paraId="3CE45F48">
            <w:pPr>
              <w:rPr>
                <w:rFonts w:ascii="宋体" w:hAnsi="宋体" w:cs="宋体"/>
                <w:sz w:val="24"/>
                <w:szCs w:val="24"/>
              </w:rPr>
            </w:pPr>
          </w:p>
        </w:tc>
      </w:tr>
      <w:tr w14:paraId="2EC2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C859642">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26374BA1">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60F52009">
            <w:pPr>
              <w:rPr>
                <w:rFonts w:ascii="宋体" w:hAnsi="宋体" w:cs="宋体"/>
                <w:sz w:val="24"/>
                <w:szCs w:val="24"/>
              </w:rPr>
            </w:pPr>
          </w:p>
        </w:tc>
        <w:tc>
          <w:tcPr>
            <w:tcW w:w="2222" w:type="dxa"/>
            <w:vAlign w:val="center"/>
          </w:tcPr>
          <w:p w14:paraId="4F6999EF">
            <w:pPr>
              <w:rPr>
                <w:rFonts w:ascii="宋体" w:hAnsi="宋体" w:cs="宋体"/>
                <w:sz w:val="24"/>
                <w:szCs w:val="24"/>
              </w:rPr>
            </w:pPr>
          </w:p>
        </w:tc>
        <w:tc>
          <w:tcPr>
            <w:tcW w:w="1978" w:type="dxa"/>
            <w:vAlign w:val="center"/>
          </w:tcPr>
          <w:p w14:paraId="29E2BA02">
            <w:pPr>
              <w:rPr>
                <w:rFonts w:ascii="宋体" w:hAnsi="宋体" w:cs="宋体"/>
                <w:sz w:val="24"/>
                <w:szCs w:val="24"/>
              </w:rPr>
            </w:pPr>
          </w:p>
        </w:tc>
      </w:tr>
    </w:tbl>
    <w:p w14:paraId="3C2C7464">
      <w:pPr>
        <w:snapToGrid w:val="0"/>
        <w:spacing w:line="360" w:lineRule="auto"/>
        <w:rPr>
          <w:rFonts w:ascii="宋体" w:hAnsi="宋体" w:cs="宋体"/>
          <w:sz w:val="24"/>
          <w:szCs w:val="24"/>
        </w:rPr>
      </w:pPr>
    </w:p>
    <w:p w14:paraId="789D227E">
      <w:pPr>
        <w:snapToGrid w:val="0"/>
        <w:spacing w:line="460" w:lineRule="exact"/>
        <w:rPr>
          <w:rFonts w:ascii="宋体" w:hAnsi="宋体" w:cs="宋体"/>
          <w:b/>
          <w:bCs/>
          <w:sz w:val="24"/>
          <w:szCs w:val="24"/>
        </w:rPr>
      </w:pPr>
    </w:p>
    <w:p w14:paraId="602BE847">
      <w:pPr>
        <w:snapToGrid w:val="0"/>
        <w:spacing w:line="460" w:lineRule="exact"/>
        <w:rPr>
          <w:rFonts w:ascii="宋体" w:hAnsi="宋体" w:cs="宋体"/>
          <w:b/>
          <w:bCs/>
          <w:sz w:val="24"/>
          <w:szCs w:val="24"/>
        </w:rPr>
      </w:pPr>
      <w:r>
        <w:rPr>
          <w:rFonts w:hint="eastAsia" w:ascii="宋体" w:hAnsi="宋体" w:cs="宋体"/>
          <w:b/>
          <w:bCs/>
          <w:sz w:val="24"/>
          <w:szCs w:val="24"/>
        </w:rPr>
        <w:t>供应商电子签章：</w:t>
      </w:r>
    </w:p>
    <w:p w14:paraId="59E98D28">
      <w:pPr>
        <w:spacing w:line="460" w:lineRule="exact"/>
        <w:jc w:val="left"/>
        <w:rPr>
          <w:rFonts w:ascii="宋体" w:hAnsi="宋体" w:cs="宋体"/>
          <w:sz w:val="24"/>
          <w:szCs w:val="24"/>
        </w:rPr>
      </w:pPr>
      <w:r>
        <w:rPr>
          <w:rFonts w:hint="eastAsia" w:ascii="宋体" w:hAnsi="宋体" w:cs="宋体"/>
          <w:b/>
          <w:bCs/>
          <w:sz w:val="24"/>
          <w:szCs w:val="24"/>
        </w:rPr>
        <w:t>日期：   年   月   日</w:t>
      </w:r>
    </w:p>
    <w:p w14:paraId="495BC596">
      <w:pPr>
        <w:spacing w:line="460" w:lineRule="exact"/>
        <w:rPr>
          <w:rFonts w:ascii="宋体" w:hAnsi="宋体" w:cs="宋体"/>
          <w:sz w:val="24"/>
          <w:szCs w:val="24"/>
        </w:rPr>
      </w:pPr>
    </w:p>
    <w:p w14:paraId="704BB7A0">
      <w:pPr>
        <w:spacing w:line="500" w:lineRule="exact"/>
        <w:rPr>
          <w:rStyle w:val="114"/>
          <w:rFonts w:hint="eastAsia" w:ascii="宋体" w:hAnsi="宋体" w:cs="宋体"/>
          <w:sz w:val="24"/>
          <w:szCs w:val="24"/>
          <w:lang w:val="en-US" w:eastAsia="zh-CN"/>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92" w:name="_Toc22037"/>
      <w:bookmarkStart w:id="93" w:name="_Toc29422"/>
      <w:r>
        <w:rPr>
          <w:rStyle w:val="114"/>
          <w:rFonts w:hint="eastAsia" w:ascii="宋体" w:hAnsi="宋体" w:eastAsia="宋体" w:cs="宋体"/>
          <w:sz w:val="24"/>
          <w:szCs w:val="24"/>
        </w:rPr>
        <w:t>附件</w:t>
      </w:r>
      <w:bookmarkEnd w:id="91"/>
      <w:r>
        <w:rPr>
          <w:rStyle w:val="114"/>
          <w:rFonts w:hint="eastAsia" w:ascii="宋体" w:hAnsi="宋体" w:eastAsia="宋体" w:cs="宋体"/>
          <w:sz w:val="24"/>
          <w:szCs w:val="24"/>
        </w:rPr>
        <w:t>七</w:t>
      </w:r>
      <w:bookmarkEnd w:id="92"/>
      <w:bookmarkEnd w:id="93"/>
      <w:bookmarkStart w:id="94" w:name="_Toc22695"/>
    </w:p>
    <w:p w14:paraId="220A6579">
      <w:pPr>
        <w:pStyle w:val="3"/>
        <w:bidi w:val="0"/>
        <w:ind w:left="0" w:leftChars="0" w:right="0" w:rightChars="0" w:firstLine="0" w:firstLineChars="0"/>
        <w:jc w:val="center"/>
        <w:rPr>
          <w:rFonts w:ascii="仿宋_GB2312" w:hAnsi="仿宋_GB2312"/>
          <w:szCs w:val="28"/>
        </w:rPr>
      </w:pPr>
      <w:bookmarkStart w:id="95" w:name="_Toc26544"/>
      <w:r>
        <w:rPr>
          <w:rFonts w:hint="eastAsia" w:ascii="宋体" w:hAnsi="宋体" w:eastAsia="宋体" w:cs="宋体"/>
          <w:sz w:val="24"/>
          <w:szCs w:val="16"/>
        </w:rPr>
        <w:t>中小企业声明函</w:t>
      </w:r>
      <w:bookmarkEnd w:id="94"/>
      <w:bookmarkEnd w:id="95"/>
    </w:p>
    <w:p w14:paraId="1C3AFF0E">
      <w:pPr>
        <w:autoSpaceDE w:val="0"/>
        <w:spacing w:line="5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B931CC7">
      <w:pPr>
        <w:autoSpaceDE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7008A53D">
      <w:pPr>
        <w:autoSpaceDE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12815F76">
      <w:pPr>
        <w:autoSpaceDE w:val="0"/>
        <w:spacing w:line="500" w:lineRule="exact"/>
        <w:ind w:firstLine="480" w:firstLineChars="200"/>
        <w:rPr>
          <w:rFonts w:ascii="宋体" w:hAnsi="宋体" w:cs="宋体"/>
          <w:sz w:val="24"/>
          <w:szCs w:val="24"/>
        </w:rPr>
      </w:pPr>
      <w:r>
        <w:rPr>
          <w:rFonts w:hint="eastAsia" w:ascii="宋体" w:hAnsi="宋体" w:cs="宋体"/>
          <w:sz w:val="24"/>
          <w:szCs w:val="24"/>
        </w:rPr>
        <w:t>......</w:t>
      </w:r>
    </w:p>
    <w:p w14:paraId="4B224167">
      <w:pPr>
        <w:pStyle w:val="10"/>
        <w:autoSpaceDE w:val="0"/>
        <w:spacing w:after="0"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E638102">
      <w:pPr>
        <w:spacing w:line="500" w:lineRule="exact"/>
        <w:ind w:left="4798" w:leftChars="342" w:hanging="4080" w:hangingChars="1700"/>
        <w:rPr>
          <w:rFonts w:hint="eastAsia" w:ascii="宋体" w:hAnsi="宋体" w:cs="宋体"/>
          <w:bCs/>
          <w:sz w:val="24"/>
          <w:lang w:val="en-US" w:eastAsia="zh-CN"/>
        </w:rPr>
      </w:pPr>
      <w:r>
        <w:rPr>
          <w:rFonts w:hint="eastAsia" w:ascii="宋体" w:hAnsi="宋体" w:cs="宋体"/>
          <w:sz w:val="24"/>
        </w:rPr>
        <w:t>本企业对上述声明内容的真实性负责。</w:t>
      </w:r>
      <w:r>
        <w:rPr>
          <w:rFonts w:hint="eastAsia" w:ascii="宋体" w:hAnsi="宋体" w:cs="宋体"/>
          <w:bCs/>
          <w:sz w:val="24"/>
        </w:rPr>
        <w:t>如有虚假，</w:t>
      </w:r>
      <w:r>
        <w:rPr>
          <w:rFonts w:hint="eastAsia" w:ascii="宋体" w:hAnsi="宋体" w:cs="宋体"/>
          <w:bCs/>
          <w:sz w:val="24"/>
          <w:lang w:eastAsia="zh-CN"/>
        </w:rPr>
        <w:t>将依法承担相应责任。</w:t>
      </w:r>
      <w:r>
        <w:rPr>
          <w:rFonts w:hint="eastAsia" w:ascii="宋体" w:hAnsi="宋体" w:cs="宋体"/>
          <w:bCs/>
          <w:sz w:val="24"/>
          <w:lang w:val="en-US" w:eastAsia="zh-CN"/>
        </w:rPr>
        <w:t xml:space="preserve">        </w:t>
      </w:r>
    </w:p>
    <w:p w14:paraId="2625CA74">
      <w:pPr>
        <w:spacing w:line="500" w:lineRule="exact"/>
        <w:ind w:left="4788" w:leftChars="2280" w:firstLine="0" w:firstLineChars="0"/>
        <w:rPr>
          <w:rFonts w:hint="eastAsia" w:ascii="宋体" w:hAnsi="宋体" w:cs="宋体"/>
          <w:bCs/>
          <w:sz w:val="24"/>
          <w:lang w:val="en-US" w:eastAsia="zh-CN"/>
        </w:rPr>
      </w:pPr>
    </w:p>
    <w:p w14:paraId="1CBA7C20">
      <w:pPr>
        <w:spacing w:line="500" w:lineRule="exact"/>
        <w:ind w:left="4788" w:leftChars="2280" w:firstLine="0" w:firstLineChars="0"/>
        <w:rPr>
          <w:rFonts w:ascii="宋体"/>
          <w:sz w:val="24"/>
          <w:szCs w:val="24"/>
          <w:u w:val="single"/>
        </w:rPr>
      </w:pPr>
      <w:r>
        <w:rPr>
          <w:rFonts w:hint="eastAsia" w:ascii="宋体" w:hAnsi="宋体"/>
          <w:sz w:val="24"/>
          <w:szCs w:val="24"/>
        </w:rPr>
        <w:t>供应商电子签章：</w:t>
      </w:r>
      <w:r>
        <w:rPr>
          <w:rFonts w:ascii="宋体" w:hAnsi="宋体"/>
          <w:sz w:val="24"/>
          <w:szCs w:val="24"/>
          <w:u w:val="single"/>
        </w:rPr>
        <w:t xml:space="preserve">              </w:t>
      </w:r>
    </w:p>
    <w:p w14:paraId="793BE7E5">
      <w:pPr>
        <w:autoSpaceDE w:val="0"/>
        <w:spacing w:line="500" w:lineRule="exact"/>
        <w:ind w:firstLine="480" w:firstLineChars="200"/>
        <w:jc w:val="center"/>
        <w:rPr>
          <w:rFonts w:ascii="宋体" w:hAnsi="宋体"/>
          <w:sz w:val="24"/>
          <w:szCs w:val="24"/>
        </w:rPr>
      </w:pPr>
      <w:r>
        <w:rPr>
          <w:rFonts w:hint="eastAsia" w:ascii="宋体" w:hAnsi="宋体"/>
          <w:sz w:val="24"/>
          <w:szCs w:val="24"/>
        </w:rPr>
        <w:t xml:space="preserve">                 日 </w:t>
      </w:r>
      <w:r>
        <w:rPr>
          <w:rFonts w:ascii="宋体" w:hAnsi="宋体"/>
          <w:sz w:val="24"/>
          <w:szCs w:val="24"/>
        </w:rPr>
        <w:t xml:space="preserve">  </w:t>
      </w:r>
      <w:r>
        <w:rPr>
          <w:rFonts w:hint="eastAsia" w:ascii="宋体" w:hAnsi="宋体"/>
          <w:sz w:val="24"/>
          <w:szCs w:val="24"/>
        </w:rPr>
        <w:t xml:space="preserve">       期：</w:t>
      </w:r>
    </w:p>
    <w:p w14:paraId="781AE93D">
      <w:pPr>
        <w:pStyle w:val="33"/>
      </w:pPr>
    </w:p>
    <w:p w14:paraId="19A0AB9B">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642DF1B6">
      <w:pPr>
        <w:pStyle w:val="33"/>
        <w:spacing w:after="0" w:line="500" w:lineRule="exact"/>
        <w:ind w:firstLine="480" w:firstLineChars="200"/>
        <w:rPr>
          <w:rFonts w:ascii="宋体" w:hAnsi="宋体"/>
          <w:b/>
          <w:bCs/>
          <w:szCs w:val="24"/>
        </w:rPr>
      </w:pPr>
      <w:r>
        <w:rPr>
          <w:rFonts w:hint="eastAsia"/>
        </w:rPr>
        <w:t>2、企业划型标准按照《关于印发中小企业划型标准规定的通知》（工信部联企业〔2011〕300号）规定执行。</w:t>
      </w:r>
      <w:r>
        <w:rPr>
          <w:rFonts w:hint="eastAsia" w:ascii="宋体" w:hAnsi="宋体"/>
          <w:b/>
          <w:bCs/>
          <w:szCs w:val="24"/>
        </w:rPr>
        <w:br w:type="page"/>
      </w:r>
    </w:p>
    <w:p w14:paraId="5A5E0CC9">
      <w:pPr>
        <w:pStyle w:val="3"/>
        <w:bidi w:val="0"/>
        <w:ind w:left="0" w:leftChars="0" w:right="0" w:rightChars="0" w:firstLine="0" w:firstLineChars="0"/>
        <w:jc w:val="center"/>
        <w:rPr>
          <w:rFonts w:ascii="宋体" w:hAnsi="宋体"/>
          <w:b/>
          <w:bCs/>
          <w:szCs w:val="24"/>
        </w:rPr>
      </w:pPr>
      <w:bookmarkStart w:id="96" w:name="_Toc9667"/>
      <w:r>
        <w:rPr>
          <w:rFonts w:hint="eastAsia" w:ascii="宋体" w:hAnsi="宋体" w:eastAsia="宋体" w:cs="宋体"/>
          <w:sz w:val="24"/>
          <w:szCs w:val="16"/>
        </w:rPr>
        <w:t>残疾人福利性单位声明函</w:t>
      </w:r>
      <w:bookmarkEnd w:id="96"/>
    </w:p>
    <w:p w14:paraId="33409DF2">
      <w:pPr>
        <w:pStyle w:val="18"/>
        <w:spacing w:line="48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59ED4DE1">
      <w:pPr>
        <w:spacing w:line="480" w:lineRule="exact"/>
      </w:pPr>
    </w:p>
    <w:p w14:paraId="38BA99F5">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254A8B78">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3AE4D408">
      <w:pPr>
        <w:spacing w:line="480" w:lineRule="exact"/>
        <w:rPr>
          <w:rFonts w:ascii="宋体" w:hAnsi="宋体"/>
          <w:bCs/>
          <w:sz w:val="24"/>
          <w:szCs w:val="24"/>
        </w:rPr>
      </w:pPr>
    </w:p>
    <w:p w14:paraId="316BAE8F">
      <w:pPr>
        <w:spacing w:line="480" w:lineRule="exact"/>
        <w:ind w:firstLine="5040" w:firstLineChars="2100"/>
        <w:rPr>
          <w:rFonts w:ascii="宋体"/>
          <w:sz w:val="24"/>
          <w:szCs w:val="24"/>
          <w:u w:val="single"/>
        </w:rPr>
      </w:pPr>
      <w:r>
        <w:rPr>
          <w:rFonts w:hint="eastAsia" w:ascii="宋体" w:hAnsi="宋体"/>
          <w:sz w:val="24"/>
          <w:szCs w:val="24"/>
        </w:rPr>
        <w:t>供应商电子签章：</w:t>
      </w:r>
      <w:r>
        <w:rPr>
          <w:rFonts w:ascii="宋体" w:hAnsi="宋体"/>
          <w:sz w:val="24"/>
          <w:szCs w:val="24"/>
          <w:u w:val="single"/>
        </w:rPr>
        <w:t xml:space="preserve">              </w:t>
      </w:r>
    </w:p>
    <w:p w14:paraId="2BD548D9">
      <w:pPr>
        <w:tabs>
          <w:tab w:val="left" w:pos="4620"/>
        </w:tabs>
        <w:spacing w:line="480" w:lineRule="exact"/>
        <w:ind w:firstLine="5040" w:firstLineChars="2100"/>
        <w:jc w:val="left"/>
        <w:rPr>
          <w:rFonts w:ascii="宋体" w:hAnsi="宋体" w:cs="宋体"/>
          <w:b/>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cs="宋体"/>
          <w:b/>
          <w:sz w:val="24"/>
          <w:szCs w:val="24"/>
          <w:u w:val="single"/>
        </w:rPr>
        <w:t xml:space="preserve">                                          </w:t>
      </w:r>
    </w:p>
    <w:p w14:paraId="238D8FF4">
      <w:pPr>
        <w:pStyle w:val="3"/>
        <w:spacing w:before="0" w:after="0"/>
        <w:rPr>
          <w:rFonts w:hint="eastAsia" w:ascii="宋体" w:hAnsi="宋体" w:eastAsia="宋体" w:cs="宋体"/>
          <w:sz w:val="24"/>
          <w:szCs w:val="24"/>
          <w:lang w:eastAsia="zh-CN"/>
        </w:rPr>
      </w:pPr>
      <w:r>
        <w:rPr>
          <w:rFonts w:hint="eastAsia" w:ascii="宋体" w:hAnsi="宋体" w:cs="宋体"/>
          <w:sz w:val="24"/>
          <w:szCs w:val="24"/>
        </w:rPr>
        <w:br w:type="page"/>
      </w:r>
      <w:bookmarkStart w:id="97" w:name="_Toc29641"/>
      <w:r>
        <w:rPr>
          <w:rFonts w:hint="eastAsia" w:ascii="宋体" w:hAnsi="宋体" w:eastAsia="宋体" w:cs="宋体"/>
          <w:sz w:val="24"/>
          <w:szCs w:val="24"/>
        </w:rPr>
        <w:t>附件</w:t>
      </w:r>
      <w:r>
        <w:rPr>
          <w:rFonts w:hint="eastAsia" w:ascii="宋体" w:hAnsi="宋体" w:eastAsia="宋体" w:cs="宋体"/>
          <w:sz w:val="24"/>
          <w:szCs w:val="24"/>
          <w:lang w:eastAsia="zh-CN"/>
        </w:rPr>
        <w:t>八</w:t>
      </w:r>
      <w:bookmarkEnd w:id="97"/>
    </w:p>
    <w:p w14:paraId="34DAA236">
      <w:pPr>
        <w:pStyle w:val="3"/>
        <w:spacing w:before="0" w:after="0" w:line="560" w:lineRule="exact"/>
        <w:jc w:val="center"/>
        <w:rPr>
          <w:rFonts w:ascii="宋体" w:hAnsi="宋体" w:eastAsia="宋体" w:cs="宋体"/>
          <w:sz w:val="24"/>
          <w:szCs w:val="24"/>
        </w:rPr>
      </w:pPr>
      <w:bookmarkStart w:id="98" w:name="_Toc26919"/>
      <w:bookmarkStart w:id="99" w:name="_Toc28327"/>
      <w:bookmarkStart w:id="100" w:name="_Toc20094"/>
      <w:bookmarkStart w:id="101" w:name="_Toc5794"/>
      <w:r>
        <w:rPr>
          <w:rFonts w:hint="eastAsia" w:ascii="宋体" w:hAnsi="宋体" w:eastAsia="宋体" w:cs="宋体"/>
          <w:sz w:val="24"/>
          <w:szCs w:val="24"/>
        </w:rPr>
        <w:t>联合体协议</w:t>
      </w:r>
      <w:bookmarkEnd w:id="98"/>
      <w:bookmarkEnd w:id="99"/>
      <w:bookmarkEnd w:id="100"/>
      <w:bookmarkEnd w:id="101"/>
    </w:p>
    <w:p w14:paraId="2DF45307">
      <w:pPr>
        <w:spacing w:line="360" w:lineRule="auto"/>
        <w:jc w:val="center"/>
        <w:rPr>
          <w:rFonts w:ascii="宋体" w:hAnsi="宋体" w:cs="宋体"/>
          <w:sz w:val="24"/>
          <w:szCs w:val="24"/>
        </w:rPr>
      </w:pPr>
      <w:r>
        <w:rPr>
          <w:rFonts w:hint="eastAsia" w:ascii="宋体" w:hAnsi="宋体" w:cs="宋体"/>
          <w:sz w:val="24"/>
          <w:szCs w:val="24"/>
        </w:rPr>
        <w:t>（不允许联合体参加磋商或未组成联合体的，不需此件）</w:t>
      </w:r>
    </w:p>
    <w:p w14:paraId="72A83363">
      <w:pPr>
        <w:spacing w:line="360" w:lineRule="auto"/>
        <w:jc w:val="center"/>
        <w:rPr>
          <w:rFonts w:ascii="宋体" w:hAnsi="宋体" w:cs="宋体"/>
          <w:spacing w:val="-6"/>
          <w:sz w:val="24"/>
          <w:szCs w:val="24"/>
        </w:rPr>
      </w:pPr>
      <w:r>
        <w:rPr>
          <w:rFonts w:hint="eastAsia" w:ascii="宋体" w:hAnsi="宋体" w:cs="宋体"/>
          <w:spacing w:val="-6"/>
          <w:sz w:val="24"/>
          <w:szCs w:val="24"/>
        </w:rPr>
        <w:t>（允许联合体参加磋商且供应商为联合体的，请将此件加盖公章后制成扫描件上传）</w:t>
      </w:r>
    </w:p>
    <w:p w14:paraId="5703214E">
      <w:pPr>
        <w:rPr>
          <w:rFonts w:ascii="宋体" w:hAnsi="宋体" w:cs="宋体"/>
          <w:sz w:val="24"/>
          <w:szCs w:val="24"/>
        </w:rPr>
      </w:pPr>
    </w:p>
    <w:p w14:paraId="6D71BC18">
      <w:pP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与</w:t>
      </w:r>
      <w:r>
        <w:rPr>
          <w:rFonts w:hint="eastAsia" w:ascii="宋体" w:hAnsi="宋体" w:cs="宋体"/>
          <w:sz w:val="24"/>
          <w:szCs w:val="24"/>
          <w:u w:val="single"/>
        </w:rPr>
        <w:t xml:space="preserve">          </w:t>
      </w:r>
      <w:r>
        <w:rPr>
          <w:rFonts w:hint="eastAsia" w:ascii="宋体" w:hAnsi="宋体" w:cs="宋体"/>
          <w:sz w:val="24"/>
          <w:szCs w:val="24"/>
        </w:rPr>
        <w:t>就“</w:t>
      </w:r>
      <w:r>
        <w:rPr>
          <w:rFonts w:hint="eastAsia" w:ascii="宋体" w:hAnsi="宋体" w:cs="宋体"/>
          <w:sz w:val="24"/>
          <w:szCs w:val="24"/>
          <w:u w:val="single"/>
        </w:rPr>
        <w:t>某项目</w:t>
      </w:r>
      <w:r>
        <w:rPr>
          <w:rFonts w:hint="eastAsia" w:ascii="宋体" w:hAnsi="宋体" w:cs="宋体"/>
          <w:sz w:val="24"/>
          <w:szCs w:val="24"/>
        </w:rPr>
        <w:t>”（项目编号：</w:t>
      </w:r>
      <w:r>
        <w:rPr>
          <w:rFonts w:hint="eastAsia" w:ascii="宋体" w:hAnsi="宋体" w:cs="宋体"/>
          <w:sz w:val="24"/>
          <w:szCs w:val="24"/>
          <w:u w:val="single"/>
        </w:rPr>
        <w:t>某编号</w:t>
      </w:r>
      <w:r>
        <w:rPr>
          <w:rFonts w:hint="eastAsia" w:ascii="宋体" w:hAnsi="宋体" w:cs="宋体"/>
          <w:sz w:val="24"/>
          <w:szCs w:val="24"/>
        </w:rPr>
        <w:t>）的磋商有关事宜，经各方充分协商一致，达成如下协议：</w:t>
      </w:r>
    </w:p>
    <w:p w14:paraId="780A2585">
      <w:pPr>
        <w:spacing w:line="360" w:lineRule="auto"/>
        <w:ind w:firstLine="480" w:firstLineChars="200"/>
        <w:rPr>
          <w:rFonts w:ascii="宋体" w:hAnsi="宋体" w:cs="宋体"/>
          <w:sz w:val="24"/>
          <w:szCs w:val="24"/>
        </w:rPr>
      </w:pPr>
      <w:r>
        <w:rPr>
          <w:rFonts w:hint="eastAsia" w:ascii="宋体" w:hAnsi="宋体" w:cs="宋体"/>
          <w:sz w:val="24"/>
          <w:szCs w:val="24"/>
        </w:rPr>
        <w:t>一、由</w:t>
      </w:r>
      <w:r>
        <w:rPr>
          <w:rFonts w:hint="eastAsia" w:ascii="宋体" w:hAnsi="宋体" w:cs="宋体"/>
          <w:sz w:val="24"/>
          <w:szCs w:val="24"/>
          <w:u w:val="single"/>
        </w:rPr>
        <w:t xml:space="preserve">    </w:t>
      </w:r>
      <w:r>
        <w:rPr>
          <w:rFonts w:hint="eastAsia" w:ascii="宋体" w:hAnsi="宋体" w:cs="宋体"/>
          <w:sz w:val="24"/>
          <w:szCs w:val="24"/>
        </w:rPr>
        <w:t>牵头，</w:t>
      </w:r>
      <w:r>
        <w:rPr>
          <w:rFonts w:hint="eastAsia" w:ascii="宋体" w:hAnsi="宋体" w:cs="宋体"/>
          <w:sz w:val="24"/>
          <w:szCs w:val="24"/>
          <w:u w:val="single"/>
        </w:rPr>
        <w:t xml:space="preserve">    </w:t>
      </w:r>
      <w:r>
        <w:rPr>
          <w:rFonts w:hint="eastAsia" w:ascii="宋体" w:hAnsi="宋体" w:cs="宋体"/>
          <w:sz w:val="24"/>
          <w:szCs w:val="24"/>
        </w:rPr>
        <w:t>参加，组成联合体共同进行本项目的磋商工作。</w:t>
      </w:r>
    </w:p>
    <w:p w14:paraId="3DFECC89">
      <w:pPr>
        <w:spacing w:line="360" w:lineRule="auto"/>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u w:val="single"/>
        </w:rPr>
        <w:t xml:space="preserve">          </w:t>
      </w:r>
      <w:r>
        <w:rPr>
          <w:rFonts w:hint="eastAsia" w:ascii="宋体" w:hAnsi="宋体" w:cs="宋体"/>
          <w:sz w:val="24"/>
          <w:szCs w:val="24"/>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14:paraId="7CAC8700">
      <w:pPr>
        <w:spacing w:line="360" w:lineRule="auto"/>
        <w:ind w:firstLine="480" w:firstLineChars="200"/>
        <w:rPr>
          <w:rFonts w:ascii="宋体" w:hAnsi="宋体" w:cs="宋体"/>
          <w:sz w:val="24"/>
          <w:szCs w:val="24"/>
        </w:rPr>
      </w:pPr>
      <w:r>
        <w:rPr>
          <w:rFonts w:hint="eastAsia" w:ascii="宋体" w:hAnsi="宋体" w:cs="宋体"/>
          <w:sz w:val="24"/>
          <w:szCs w:val="24"/>
        </w:rPr>
        <w:t>三、如联合体成交，则主体方负责</w:t>
      </w:r>
      <w:r>
        <w:rPr>
          <w:rFonts w:hint="eastAsia" w:ascii="宋体" w:hAnsi="宋体" w:cs="宋体"/>
          <w:sz w:val="24"/>
          <w:szCs w:val="24"/>
          <w:u w:val="single"/>
        </w:rPr>
        <w:t xml:space="preserve">                             </w:t>
      </w:r>
      <w:r>
        <w:rPr>
          <w:rFonts w:hint="eastAsia" w:ascii="宋体" w:hAnsi="宋体" w:cs="宋体"/>
          <w:sz w:val="24"/>
          <w:szCs w:val="24"/>
        </w:rPr>
        <w:t>等工作；参加方负责</w:t>
      </w:r>
      <w:r>
        <w:rPr>
          <w:rFonts w:hint="eastAsia" w:ascii="宋体" w:hAnsi="宋体" w:cs="宋体"/>
          <w:sz w:val="24"/>
          <w:szCs w:val="24"/>
          <w:u w:val="single"/>
        </w:rPr>
        <w:t xml:space="preserve">                     </w:t>
      </w:r>
      <w:r>
        <w:rPr>
          <w:rFonts w:hint="eastAsia" w:ascii="宋体" w:hAnsi="宋体" w:cs="宋体"/>
          <w:sz w:val="24"/>
          <w:szCs w:val="24"/>
        </w:rPr>
        <w:t xml:space="preserve"> 等工作。各方各自承担相应的责任。</w:t>
      </w:r>
    </w:p>
    <w:p w14:paraId="046E2F24">
      <w:pPr>
        <w:spacing w:line="360" w:lineRule="auto"/>
        <w:ind w:firstLine="480" w:firstLineChars="200"/>
        <w:rPr>
          <w:rFonts w:ascii="宋体" w:hAnsi="宋体" w:cs="宋体"/>
          <w:sz w:val="24"/>
          <w:szCs w:val="24"/>
        </w:rPr>
      </w:pPr>
      <w:r>
        <w:rPr>
          <w:rFonts w:hint="eastAsia" w:ascii="宋体" w:hAnsi="宋体" w:cs="宋体"/>
          <w:sz w:val="24"/>
          <w:szCs w:val="24"/>
        </w:rPr>
        <w:t>四、各方不得再以自己名义单独在本项目中参加磋商，也不得组成新的联合体参加本项目磋商。</w:t>
      </w:r>
    </w:p>
    <w:p w14:paraId="3D5A280D">
      <w:pPr>
        <w:spacing w:line="360" w:lineRule="auto"/>
        <w:ind w:firstLine="480" w:firstLineChars="200"/>
        <w:rPr>
          <w:rFonts w:ascii="宋体" w:hAnsi="宋体" w:cs="宋体"/>
          <w:sz w:val="24"/>
          <w:szCs w:val="24"/>
        </w:rPr>
      </w:pPr>
      <w:r>
        <w:rPr>
          <w:rFonts w:hint="eastAsia" w:ascii="宋体" w:hAnsi="宋体" w:cs="宋体"/>
          <w:sz w:val="24"/>
          <w:szCs w:val="24"/>
        </w:rPr>
        <w:t>五、参加方负责内容的合同金额占联合体协议合同总金额百分之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312FAE42">
      <w:pPr>
        <w:spacing w:line="360" w:lineRule="auto"/>
        <w:ind w:firstLine="480" w:firstLineChars="200"/>
        <w:rPr>
          <w:rFonts w:ascii="宋体" w:hAnsi="宋体" w:cs="宋体"/>
          <w:sz w:val="24"/>
          <w:szCs w:val="24"/>
        </w:rPr>
      </w:pPr>
      <w:r>
        <w:rPr>
          <w:rFonts w:hint="eastAsia" w:ascii="宋体" w:hAnsi="宋体" w:cs="宋体"/>
          <w:sz w:val="24"/>
          <w:szCs w:val="24"/>
        </w:rPr>
        <w:t>六、主体方负责内容的合同金额占联合体协议合同总金额百分之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213F573A">
      <w:pPr>
        <w:spacing w:line="360" w:lineRule="auto"/>
        <w:ind w:firstLine="480" w:firstLineChars="200"/>
        <w:rPr>
          <w:rFonts w:ascii="宋体" w:hAnsi="宋体" w:cs="宋体"/>
          <w:sz w:val="24"/>
          <w:szCs w:val="24"/>
        </w:rPr>
      </w:pPr>
      <w:r>
        <w:rPr>
          <w:rFonts w:hint="eastAsia" w:ascii="宋体" w:hAnsi="宋体" w:cs="宋体"/>
          <w:sz w:val="24"/>
          <w:szCs w:val="24"/>
        </w:rPr>
        <w:t>七、未成交，本协议自动废止。</w:t>
      </w:r>
    </w:p>
    <w:p w14:paraId="2D4B6E85">
      <w:pPr>
        <w:spacing w:line="360" w:lineRule="auto"/>
        <w:ind w:firstLine="480" w:firstLineChars="200"/>
        <w:rPr>
          <w:rFonts w:ascii="宋体" w:hAnsi="宋体" w:cs="宋体"/>
          <w:sz w:val="24"/>
          <w:szCs w:val="24"/>
        </w:rPr>
      </w:pPr>
      <w:r>
        <w:rPr>
          <w:rFonts w:hint="eastAsia" w:ascii="宋体" w:hAnsi="宋体" w:cs="宋体"/>
          <w:sz w:val="24"/>
          <w:szCs w:val="24"/>
        </w:rPr>
        <w:t>主体方：（公章）                      参加方：（公章）</w:t>
      </w:r>
    </w:p>
    <w:p w14:paraId="5ED528F4">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                          法定代表人： </w:t>
      </w:r>
    </w:p>
    <w:p w14:paraId="541C0691">
      <w:pPr>
        <w:spacing w:line="360" w:lineRule="auto"/>
        <w:ind w:firstLine="480" w:firstLineChars="200"/>
        <w:rPr>
          <w:rFonts w:ascii="宋体" w:hAnsi="宋体" w:cs="宋体"/>
          <w:sz w:val="24"/>
          <w:szCs w:val="24"/>
        </w:rPr>
      </w:pPr>
      <w:r>
        <w:rPr>
          <w:rFonts w:hint="eastAsia" w:ascii="宋体" w:hAnsi="宋体" w:cs="宋体"/>
          <w:sz w:val="24"/>
          <w:szCs w:val="24"/>
        </w:rPr>
        <w:t>地址：                                地址：</w:t>
      </w:r>
    </w:p>
    <w:p w14:paraId="3704BD1F">
      <w:pPr>
        <w:spacing w:line="360" w:lineRule="auto"/>
        <w:ind w:firstLine="480" w:firstLineChars="200"/>
        <w:rPr>
          <w:rFonts w:ascii="宋体" w:hAnsi="宋体" w:cs="宋体"/>
          <w:sz w:val="24"/>
          <w:szCs w:val="24"/>
        </w:rPr>
      </w:pPr>
      <w:r>
        <w:rPr>
          <w:rFonts w:hint="eastAsia" w:ascii="宋体" w:hAnsi="宋体" w:cs="宋体"/>
          <w:sz w:val="24"/>
          <w:szCs w:val="24"/>
        </w:rPr>
        <w:t>邮编：                                邮编：</w:t>
      </w:r>
    </w:p>
    <w:p w14:paraId="2DC28075">
      <w:pPr>
        <w:spacing w:line="360" w:lineRule="auto"/>
        <w:ind w:firstLine="480" w:firstLineChars="200"/>
        <w:rPr>
          <w:rFonts w:ascii="宋体" w:hAnsi="宋体" w:cs="宋体"/>
          <w:sz w:val="24"/>
          <w:szCs w:val="24"/>
        </w:rPr>
      </w:pPr>
      <w:r>
        <w:rPr>
          <w:rFonts w:hint="eastAsia" w:ascii="宋体" w:hAnsi="宋体" w:cs="宋体"/>
          <w:sz w:val="24"/>
          <w:szCs w:val="24"/>
        </w:rPr>
        <w:t>电话：                                电话：</w:t>
      </w:r>
    </w:p>
    <w:p w14:paraId="6D866EE7">
      <w:pPr>
        <w:rPr>
          <w:rFonts w:ascii="宋体" w:hAnsi="宋体" w:cs="宋体"/>
        </w:rPr>
      </w:pPr>
    </w:p>
    <w:p w14:paraId="31B4AD70">
      <w:pPr>
        <w:jc w:val="right"/>
        <w:rPr>
          <w:rFonts w:ascii="宋体" w:hAnsi="宋体" w:cs="宋体"/>
          <w:b/>
          <w:bCs/>
          <w:sz w:val="24"/>
          <w:szCs w:val="24"/>
        </w:rPr>
      </w:pPr>
    </w:p>
    <w:p w14:paraId="4DAB22EA">
      <w:pPr>
        <w:jc w:val="right"/>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5FBF32F1">
      <w:pPr>
        <w:rPr>
          <w:rFonts w:ascii="宋体" w:hAnsi="宋体" w:cs="宋体"/>
          <w:b/>
          <w:bCs/>
          <w:sz w:val="24"/>
          <w:szCs w:val="24"/>
        </w:rPr>
      </w:pPr>
      <w:r>
        <w:rPr>
          <w:rFonts w:hint="eastAsia" w:ascii="宋体" w:hAnsi="宋体" w:cs="宋体"/>
          <w:b/>
          <w:bCs/>
          <w:sz w:val="24"/>
          <w:szCs w:val="24"/>
        </w:rPr>
        <w:br w:type="page"/>
      </w:r>
    </w:p>
    <w:p w14:paraId="7B684D76">
      <w:pPr>
        <w:outlineLvl w:val="0"/>
        <w:rPr>
          <w:rStyle w:val="114"/>
          <w:rFonts w:hint="eastAsia" w:ascii="宋体" w:hAnsi="宋体" w:eastAsia="宋体" w:cs="宋体"/>
          <w:sz w:val="24"/>
          <w:szCs w:val="24"/>
          <w:lang w:eastAsia="zh-CN"/>
        </w:rPr>
      </w:pPr>
      <w:bookmarkStart w:id="102" w:name="_Toc3162"/>
      <w:bookmarkStart w:id="103" w:name="_Toc2238"/>
      <w:bookmarkStart w:id="104" w:name="_Toc16942"/>
      <w:r>
        <w:rPr>
          <w:rStyle w:val="114"/>
          <w:rFonts w:hint="eastAsia" w:ascii="宋体" w:hAnsi="宋体" w:eastAsia="宋体" w:cs="宋体"/>
          <w:sz w:val="24"/>
          <w:szCs w:val="24"/>
        </w:rPr>
        <w:t>附件</w:t>
      </w:r>
      <w:bookmarkEnd w:id="102"/>
      <w:bookmarkEnd w:id="103"/>
      <w:r>
        <w:rPr>
          <w:rStyle w:val="114"/>
          <w:rFonts w:hint="eastAsia" w:ascii="宋体" w:hAnsi="宋体" w:eastAsia="宋体" w:cs="宋体"/>
          <w:sz w:val="24"/>
          <w:szCs w:val="24"/>
          <w:lang w:eastAsia="zh-CN"/>
        </w:rPr>
        <w:t>九</w:t>
      </w:r>
    </w:p>
    <w:bookmarkEnd w:id="104"/>
    <w:p w14:paraId="74D16C82">
      <w:pPr>
        <w:spacing w:line="360" w:lineRule="auto"/>
        <w:rPr>
          <w:rFonts w:ascii="宋体" w:hAnsi="宋体" w:cs="宋体"/>
          <w:bCs/>
          <w:sz w:val="24"/>
          <w:szCs w:val="24"/>
        </w:rPr>
      </w:pPr>
      <w:bookmarkStart w:id="105" w:name="_Toc28850"/>
    </w:p>
    <w:p w14:paraId="10636BE2">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05"/>
    </w:p>
    <w:p w14:paraId="30F12695">
      <w:pPr>
        <w:rPr>
          <w:rFonts w:ascii="宋体" w:hAnsi="宋体" w:cs="宋体"/>
          <w:bCs/>
          <w:sz w:val="24"/>
          <w:szCs w:val="24"/>
        </w:rPr>
      </w:pPr>
      <w:r>
        <w:rPr>
          <w:rFonts w:hint="eastAsia" w:ascii="宋体" w:hAnsi="宋体" w:cs="宋体"/>
          <w:bCs/>
          <w:sz w:val="24"/>
          <w:szCs w:val="24"/>
        </w:rPr>
        <w:br w:type="page"/>
      </w:r>
    </w:p>
    <w:p w14:paraId="5A8695B4">
      <w:pPr>
        <w:pStyle w:val="3"/>
        <w:shd w:val="clear"/>
        <w:spacing w:before="0" w:after="0" w:line="560" w:lineRule="exact"/>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none"/>
          <w:lang w:val="en-US" w:eastAsia="zh-CN"/>
        </w:rPr>
        <w:t>轮</w:t>
      </w:r>
      <w:r>
        <w:rPr>
          <w:rFonts w:hint="eastAsia" w:ascii="宋体" w:hAnsi="宋体" w:eastAsia="宋体" w:cs="宋体"/>
          <w:sz w:val="24"/>
          <w:szCs w:val="24"/>
          <w:highlight w:val="none"/>
          <w:lang w:val="en-US" w:eastAsia="zh-CN"/>
        </w:rPr>
        <w:t>报价表</w:t>
      </w:r>
    </w:p>
    <w:p w14:paraId="06258144">
      <w:pPr>
        <w:pStyle w:val="33"/>
        <w:shd w:val="clear"/>
        <w:rPr>
          <w:rFonts w:hint="eastAsia" w:ascii="宋体" w:hAnsi="宋体" w:eastAsia="宋体" w:cs="宋体"/>
          <w:bCs/>
          <w:sz w:val="24"/>
          <w:szCs w:val="24"/>
          <w:highlight w:val="none"/>
        </w:rPr>
      </w:pPr>
    </w:p>
    <w:p w14:paraId="6493DBE0">
      <w:pPr>
        <w:pStyle w:val="33"/>
        <w:shd w:val="clear"/>
        <w:jc w:val="center"/>
        <w:rPr>
          <w:rFonts w:hint="default" w:ascii="宋体" w:hAnsi="宋体" w:cs="宋体"/>
          <w:b w:val="0"/>
          <w:bCs/>
          <w:sz w:val="24"/>
          <w:szCs w:val="24"/>
          <w:highlight w:val="none"/>
          <w:u w:val="single"/>
          <w:lang w:val="en-US" w:eastAsia="zh-CN"/>
        </w:rPr>
      </w:pPr>
      <w:r>
        <w:rPr>
          <w:rFonts w:hint="eastAsia" w:ascii="宋体" w:hAnsi="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none"/>
          <w:lang w:val="en-US" w:eastAsia="zh-CN"/>
        </w:rPr>
        <w:t>轮报价表</w:t>
      </w:r>
    </w:p>
    <w:p w14:paraId="4657FDEC">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致 ：( 采 购 人 )</w:t>
      </w:r>
    </w:p>
    <w:p w14:paraId="77666664">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1、我方愿在前一轮磋商（响应文件）报价的基础上再次让利，让利后响应报价为人民币</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元（其他各单价相应同比下浮）。如果我方有幸成为成交单位，报价费用为所委托项目范围内全部工作，该费用不再调整。</w:t>
      </w:r>
    </w:p>
    <w:p w14:paraId="566FA543">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2、其他部分与响应性文件内容一致。</w:t>
      </w:r>
    </w:p>
    <w:p w14:paraId="0BC03312">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 （盖章）</w:t>
      </w:r>
    </w:p>
    <w:p w14:paraId="65FD58CA">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p>
    <w:p w14:paraId="4DC3A3A3">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或法定代表人（或委托代理人）：（签字或盖章） </w:t>
      </w:r>
    </w:p>
    <w:p w14:paraId="0CEEA841">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p>
    <w:p w14:paraId="6798E60E">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日期： 年  月  日 </w:t>
      </w:r>
    </w:p>
    <w:p w14:paraId="3F70FA45">
      <w:pPr>
        <w:pStyle w:val="33"/>
        <w:shd w:val="clear"/>
        <w:jc w:val="left"/>
        <w:rPr>
          <w:rFonts w:hint="eastAsia" w:ascii="宋体" w:hAnsi="宋体" w:eastAsia="宋体" w:cs="宋体"/>
          <w:b w:val="0"/>
          <w:bCs/>
          <w:sz w:val="24"/>
          <w:szCs w:val="24"/>
          <w:highlight w:val="none"/>
        </w:rPr>
      </w:pPr>
    </w:p>
    <w:p w14:paraId="671CBD97">
      <w:pPr>
        <w:pStyle w:val="33"/>
        <w:shd w:val="clear"/>
        <w:jc w:val="left"/>
        <w:rPr>
          <w:rFonts w:hint="eastAsia" w:ascii="宋体" w:hAnsi="宋体" w:eastAsia="宋体" w:cs="宋体"/>
          <w:b w:val="0"/>
          <w:bCs/>
          <w:sz w:val="24"/>
          <w:szCs w:val="24"/>
          <w:highlight w:val="none"/>
        </w:rPr>
      </w:pPr>
    </w:p>
    <w:p w14:paraId="67B9B887">
      <w:pPr>
        <w:pStyle w:val="33"/>
        <w:shd w:val="clear"/>
        <w:jc w:val="left"/>
        <w:rPr>
          <w:rFonts w:hint="eastAsia" w:ascii="宋体" w:hAnsi="宋体" w:eastAsia="宋体" w:cs="宋体"/>
          <w:b w:val="0"/>
          <w:bCs/>
          <w:sz w:val="24"/>
          <w:szCs w:val="24"/>
          <w:highlight w:val="none"/>
        </w:rPr>
      </w:pPr>
    </w:p>
    <w:p w14:paraId="773457E0">
      <w:pPr>
        <w:pStyle w:val="33"/>
        <w:shd w:val="clear"/>
        <w:jc w:val="left"/>
        <w:rPr>
          <w:rFonts w:hint="eastAsia" w:ascii="宋体" w:hAnsi="宋体" w:eastAsia="宋体" w:cs="宋体"/>
          <w:b w:val="0"/>
          <w:bCs/>
          <w:sz w:val="24"/>
          <w:szCs w:val="24"/>
          <w:highlight w:val="none"/>
        </w:rPr>
      </w:pPr>
    </w:p>
    <w:p w14:paraId="0C63E3DC">
      <w:pPr>
        <w:pStyle w:val="33"/>
        <w:shd w:val="clear"/>
        <w:jc w:val="left"/>
        <w:rPr>
          <w:rFonts w:hint="eastAsia" w:ascii="宋体" w:hAnsi="宋体" w:eastAsia="宋体" w:cs="宋体"/>
          <w:b/>
          <w:color w:val="auto"/>
          <w:szCs w:val="28"/>
          <w:highlight w:val="none"/>
        </w:rPr>
      </w:pPr>
      <w:r>
        <w:rPr>
          <w:rFonts w:hint="eastAsia" w:ascii="宋体" w:hAnsi="宋体" w:eastAsia="宋体" w:cs="宋体"/>
          <w:b w:val="0"/>
          <w:bCs/>
          <w:sz w:val="24"/>
          <w:szCs w:val="24"/>
          <w:highlight w:val="none"/>
        </w:rPr>
        <w:t>注：最终报价单位为元，最多保留两位小数。</w:t>
      </w:r>
    </w:p>
    <w:p w14:paraId="36013000">
      <w:pPr>
        <w:pageBreakBefore w:val="0"/>
        <w:shd w:val="clear"/>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b/>
          <w:bCs/>
          <w:sz w:val="24"/>
          <w:szCs w:val="24"/>
          <w:lang w:val="en-US" w:eastAsia="zh-CN"/>
        </w:rPr>
      </w:pPr>
    </w:p>
    <w:p w14:paraId="15B44A32">
      <w:pPr>
        <w:pStyle w:val="33"/>
        <w:numPr>
          <w:ilvl w:val="0"/>
          <w:numId w:val="0"/>
        </w:numPr>
        <w:ind w:firstLine="480" w:firstLineChars="200"/>
        <w:rPr>
          <w:rFonts w:hint="eastAsia"/>
          <w:color w:val="auto"/>
          <w:highlight w:val="none"/>
          <w:lang w:eastAsia="zh-CN"/>
        </w:rPr>
      </w:pPr>
    </w:p>
    <w:p w14:paraId="75674529">
      <w:pPr>
        <w:pStyle w:val="33"/>
        <w:ind w:left="0" w:leftChars="0" w:firstLine="0" w:firstLineChars="0"/>
        <w:rPr>
          <w:rFonts w:hint="eastAsia"/>
          <w:color w:val="auto"/>
          <w:highlight w:val="none"/>
          <w:lang w:eastAsia="zh-CN"/>
        </w:rPr>
      </w:pPr>
      <w:r>
        <w:rPr>
          <w:rFonts w:hint="eastAsia" w:ascii="宋体" w:hAnsi="宋体" w:eastAsia="宋体" w:cs="宋体"/>
          <w:b/>
          <w:bCs/>
          <w:color w:val="auto"/>
          <w:sz w:val="24"/>
          <w:szCs w:val="24"/>
          <w:highlight w:val="none"/>
        </w:rPr>
        <w:t>（注：供应商单独备足空白“</w:t>
      </w:r>
      <w:r>
        <w:rPr>
          <w:rFonts w:hint="eastAsia" w:ascii="宋体" w:hAnsi="宋体" w:eastAsia="宋体" w:cs="宋体"/>
          <w:b/>
          <w:bCs/>
          <w:color w:val="auto"/>
          <w:sz w:val="24"/>
          <w:szCs w:val="24"/>
          <w:highlight w:val="none"/>
          <w:lang w:eastAsia="zh-CN"/>
        </w:rPr>
        <w:t>二轮</w:t>
      </w:r>
      <w:r>
        <w:rPr>
          <w:rFonts w:hint="eastAsia" w:ascii="宋体" w:hAnsi="宋体" w:eastAsia="宋体" w:cs="宋体"/>
          <w:b/>
          <w:bCs/>
          <w:color w:val="auto"/>
          <w:sz w:val="24"/>
          <w:szCs w:val="24"/>
          <w:highlight w:val="none"/>
        </w:rPr>
        <w:t>报价表”并加盖单位公章，用于现场协商报价时填写）</w:t>
      </w:r>
    </w:p>
    <w:sectPr>
      <w:headerReference r:id="rId4" w:type="default"/>
      <w:footerReference r:id="rId5" w:type="default"/>
      <w:pgSz w:w="11905" w:h="16838"/>
      <w:pgMar w:top="1117" w:right="1769" w:bottom="1230" w:left="1769" w:header="879" w:footer="98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50B0">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E0D6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E0D6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F137">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7742">
                          <w:pPr>
                            <w:pStyle w:val="2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77742">
                    <w:pPr>
                      <w:pStyle w:val="2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037F">
    <w:pPr>
      <w:pStyle w:val="22"/>
      <w:pBdr>
        <w:bottom w:val="single" w:color="auto" w:sz="6" w:space="0"/>
      </w:pBdr>
      <w:tabs>
        <w:tab w:val="left" w:pos="8460"/>
        <w:tab w:val="left" w:pos="9180"/>
        <w:tab w:val="clear" w:pos="4153"/>
        <w:tab w:val="clear" w:pos="8306"/>
      </w:tabs>
      <w:ind w:right="360"/>
    </w:pPr>
    <w:r>
      <w:rPr>
        <w:rFonts w:hint="eastAsia"/>
      </w:rPr>
      <w:t>六安市政府采购</w:t>
    </w:r>
    <w:r>
      <w:rPr>
        <w:rFonts w:hint="eastAsia"/>
        <w:lang w:eastAsia="zh-CN"/>
      </w:rPr>
      <w:t>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FCC08"/>
    <w:multiLevelType w:val="singleLevel"/>
    <w:tmpl w:val="EE7FCC08"/>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2MwNDMzMDczMzgzNGNmMDNjZTRmNDg1MmJlMzIifQ=="/>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F5374"/>
    <w:rsid w:val="002F5CAB"/>
    <w:rsid w:val="0031378C"/>
    <w:rsid w:val="00322074"/>
    <w:rsid w:val="003342EF"/>
    <w:rsid w:val="00337492"/>
    <w:rsid w:val="00341CB0"/>
    <w:rsid w:val="003452C5"/>
    <w:rsid w:val="0035659C"/>
    <w:rsid w:val="0035777E"/>
    <w:rsid w:val="003808D6"/>
    <w:rsid w:val="00393CAC"/>
    <w:rsid w:val="003A03A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C0AD3"/>
    <w:rsid w:val="004C64FF"/>
    <w:rsid w:val="004D4771"/>
    <w:rsid w:val="004D5F5D"/>
    <w:rsid w:val="00524A87"/>
    <w:rsid w:val="00532B91"/>
    <w:rsid w:val="00533AAE"/>
    <w:rsid w:val="00536E00"/>
    <w:rsid w:val="00554CE3"/>
    <w:rsid w:val="00576983"/>
    <w:rsid w:val="0058678B"/>
    <w:rsid w:val="00587005"/>
    <w:rsid w:val="005C34E1"/>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3A7D"/>
    <w:rsid w:val="00742F0D"/>
    <w:rsid w:val="00753D8A"/>
    <w:rsid w:val="00766A44"/>
    <w:rsid w:val="00767BB2"/>
    <w:rsid w:val="007838D0"/>
    <w:rsid w:val="0079235B"/>
    <w:rsid w:val="007B00FB"/>
    <w:rsid w:val="007B44EE"/>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E2C0D"/>
    <w:rsid w:val="00A05AD9"/>
    <w:rsid w:val="00A17EB8"/>
    <w:rsid w:val="00A24491"/>
    <w:rsid w:val="00A2462A"/>
    <w:rsid w:val="00A5114C"/>
    <w:rsid w:val="00A52EA8"/>
    <w:rsid w:val="00A612D2"/>
    <w:rsid w:val="00A6271F"/>
    <w:rsid w:val="00A74097"/>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90A8E"/>
    <w:rsid w:val="00F91C4B"/>
    <w:rsid w:val="00FA1EEE"/>
    <w:rsid w:val="00FA35DA"/>
    <w:rsid w:val="00FB552D"/>
    <w:rsid w:val="00FC1D08"/>
    <w:rsid w:val="00FD5535"/>
    <w:rsid w:val="00FF1C7C"/>
    <w:rsid w:val="00FF2E49"/>
    <w:rsid w:val="011E1FE4"/>
    <w:rsid w:val="017E1B19"/>
    <w:rsid w:val="01D24B5F"/>
    <w:rsid w:val="01ED3B47"/>
    <w:rsid w:val="029D49E4"/>
    <w:rsid w:val="03062E20"/>
    <w:rsid w:val="03B22505"/>
    <w:rsid w:val="04067181"/>
    <w:rsid w:val="04115155"/>
    <w:rsid w:val="04C937C1"/>
    <w:rsid w:val="04EE7346"/>
    <w:rsid w:val="05045387"/>
    <w:rsid w:val="05104E6D"/>
    <w:rsid w:val="05532506"/>
    <w:rsid w:val="05ED76CD"/>
    <w:rsid w:val="06262FF6"/>
    <w:rsid w:val="07267565"/>
    <w:rsid w:val="072E7791"/>
    <w:rsid w:val="073C750A"/>
    <w:rsid w:val="078B22FB"/>
    <w:rsid w:val="078C18B4"/>
    <w:rsid w:val="07A20F5E"/>
    <w:rsid w:val="095F7F4C"/>
    <w:rsid w:val="0960613F"/>
    <w:rsid w:val="09A60123"/>
    <w:rsid w:val="09AE75F4"/>
    <w:rsid w:val="09B95F2A"/>
    <w:rsid w:val="0A0C7574"/>
    <w:rsid w:val="0A424E4D"/>
    <w:rsid w:val="0A585AE8"/>
    <w:rsid w:val="0A9E2AC2"/>
    <w:rsid w:val="0AF82AC1"/>
    <w:rsid w:val="0B347EC4"/>
    <w:rsid w:val="0B566877"/>
    <w:rsid w:val="0B66533A"/>
    <w:rsid w:val="0B84414D"/>
    <w:rsid w:val="0BD46BAD"/>
    <w:rsid w:val="0BE120B2"/>
    <w:rsid w:val="0CEC43CA"/>
    <w:rsid w:val="0CFF1A10"/>
    <w:rsid w:val="0D50431A"/>
    <w:rsid w:val="0DC93B08"/>
    <w:rsid w:val="0DF624E0"/>
    <w:rsid w:val="0E346850"/>
    <w:rsid w:val="0E404088"/>
    <w:rsid w:val="0EA113FA"/>
    <w:rsid w:val="0ECA11CC"/>
    <w:rsid w:val="0EEB72F3"/>
    <w:rsid w:val="0F390E8E"/>
    <w:rsid w:val="0F6F3753"/>
    <w:rsid w:val="0F8F57EF"/>
    <w:rsid w:val="0FF97625"/>
    <w:rsid w:val="1018304A"/>
    <w:rsid w:val="10330C6E"/>
    <w:rsid w:val="110475FD"/>
    <w:rsid w:val="119066D9"/>
    <w:rsid w:val="119B64C3"/>
    <w:rsid w:val="11A335B5"/>
    <w:rsid w:val="11BB237E"/>
    <w:rsid w:val="1219428E"/>
    <w:rsid w:val="12C21660"/>
    <w:rsid w:val="13490C7D"/>
    <w:rsid w:val="135C3D02"/>
    <w:rsid w:val="14E27C21"/>
    <w:rsid w:val="153B2049"/>
    <w:rsid w:val="15614DA8"/>
    <w:rsid w:val="15AD79BC"/>
    <w:rsid w:val="16066864"/>
    <w:rsid w:val="16991EF7"/>
    <w:rsid w:val="171A37D9"/>
    <w:rsid w:val="173850A7"/>
    <w:rsid w:val="174C0AC9"/>
    <w:rsid w:val="177B4CDC"/>
    <w:rsid w:val="17BA7FA6"/>
    <w:rsid w:val="17F627DF"/>
    <w:rsid w:val="18386437"/>
    <w:rsid w:val="192B2CC7"/>
    <w:rsid w:val="198B1495"/>
    <w:rsid w:val="19AE61A3"/>
    <w:rsid w:val="19FC080E"/>
    <w:rsid w:val="1A136079"/>
    <w:rsid w:val="1A6C248D"/>
    <w:rsid w:val="1AB559FF"/>
    <w:rsid w:val="1AF45622"/>
    <w:rsid w:val="1B0D432A"/>
    <w:rsid w:val="1B5A7D5C"/>
    <w:rsid w:val="1B7B26E1"/>
    <w:rsid w:val="1C1A0C17"/>
    <w:rsid w:val="1C32741A"/>
    <w:rsid w:val="1C405AE5"/>
    <w:rsid w:val="1CAC4638"/>
    <w:rsid w:val="1D280882"/>
    <w:rsid w:val="1D960483"/>
    <w:rsid w:val="1DDF428F"/>
    <w:rsid w:val="1DF15284"/>
    <w:rsid w:val="1E063B05"/>
    <w:rsid w:val="1F171CFB"/>
    <w:rsid w:val="1F205053"/>
    <w:rsid w:val="1F3C13B6"/>
    <w:rsid w:val="1F4B49D6"/>
    <w:rsid w:val="1FF85069"/>
    <w:rsid w:val="20AE7D24"/>
    <w:rsid w:val="20F41885"/>
    <w:rsid w:val="21993B18"/>
    <w:rsid w:val="22464B8D"/>
    <w:rsid w:val="228F2F97"/>
    <w:rsid w:val="229A201B"/>
    <w:rsid w:val="22D66AE1"/>
    <w:rsid w:val="239974D6"/>
    <w:rsid w:val="23E266D0"/>
    <w:rsid w:val="23E4618A"/>
    <w:rsid w:val="241C2900"/>
    <w:rsid w:val="244E3D8C"/>
    <w:rsid w:val="246001CD"/>
    <w:rsid w:val="24B335CE"/>
    <w:rsid w:val="257744EB"/>
    <w:rsid w:val="25EF0E4B"/>
    <w:rsid w:val="269C26E3"/>
    <w:rsid w:val="27000148"/>
    <w:rsid w:val="272E2D63"/>
    <w:rsid w:val="273C655E"/>
    <w:rsid w:val="27410CB9"/>
    <w:rsid w:val="276D441A"/>
    <w:rsid w:val="27F74FD8"/>
    <w:rsid w:val="2861396F"/>
    <w:rsid w:val="28B44010"/>
    <w:rsid w:val="28D108CD"/>
    <w:rsid w:val="292450D2"/>
    <w:rsid w:val="29384EA8"/>
    <w:rsid w:val="29BE7C8E"/>
    <w:rsid w:val="29E26463"/>
    <w:rsid w:val="2A07065D"/>
    <w:rsid w:val="2A0A08C3"/>
    <w:rsid w:val="2A534564"/>
    <w:rsid w:val="2A573A70"/>
    <w:rsid w:val="2CBD48CE"/>
    <w:rsid w:val="2CE211B2"/>
    <w:rsid w:val="2DA511FF"/>
    <w:rsid w:val="2E015B36"/>
    <w:rsid w:val="2E275F81"/>
    <w:rsid w:val="2E4E51C2"/>
    <w:rsid w:val="2E77681E"/>
    <w:rsid w:val="2F4B2B19"/>
    <w:rsid w:val="2F6246CC"/>
    <w:rsid w:val="2F8A6163"/>
    <w:rsid w:val="2FA628D8"/>
    <w:rsid w:val="2FC20327"/>
    <w:rsid w:val="2FC53683"/>
    <w:rsid w:val="2FE97A5F"/>
    <w:rsid w:val="305A47DE"/>
    <w:rsid w:val="309E348C"/>
    <w:rsid w:val="31394322"/>
    <w:rsid w:val="3184082E"/>
    <w:rsid w:val="3189283E"/>
    <w:rsid w:val="31FEBFA9"/>
    <w:rsid w:val="32617B06"/>
    <w:rsid w:val="328304A8"/>
    <w:rsid w:val="32BC5F4D"/>
    <w:rsid w:val="339A2FE4"/>
    <w:rsid w:val="33E234ED"/>
    <w:rsid w:val="33FE364D"/>
    <w:rsid w:val="34175EE4"/>
    <w:rsid w:val="3429115A"/>
    <w:rsid w:val="34F2580B"/>
    <w:rsid w:val="35A32FBE"/>
    <w:rsid w:val="36024564"/>
    <w:rsid w:val="36276335"/>
    <w:rsid w:val="362B51D9"/>
    <w:rsid w:val="36981B5D"/>
    <w:rsid w:val="36A9634B"/>
    <w:rsid w:val="36D079C8"/>
    <w:rsid w:val="371711E7"/>
    <w:rsid w:val="377FB79C"/>
    <w:rsid w:val="37D716E7"/>
    <w:rsid w:val="38CB4EC2"/>
    <w:rsid w:val="39440ED9"/>
    <w:rsid w:val="39C36AC9"/>
    <w:rsid w:val="3A8F3EBA"/>
    <w:rsid w:val="3AB10259"/>
    <w:rsid w:val="3ABA6222"/>
    <w:rsid w:val="3B301F44"/>
    <w:rsid w:val="3BAE4829"/>
    <w:rsid w:val="3BC31DD8"/>
    <w:rsid w:val="3BDF73C5"/>
    <w:rsid w:val="3CDFFECA"/>
    <w:rsid w:val="3CF37919"/>
    <w:rsid w:val="3D902D22"/>
    <w:rsid w:val="3DF4021A"/>
    <w:rsid w:val="3E047963"/>
    <w:rsid w:val="3E6B3DB3"/>
    <w:rsid w:val="3E8E5BBA"/>
    <w:rsid w:val="3EDC10FF"/>
    <w:rsid w:val="3F0A5E23"/>
    <w:rsid w:val="3F6C0832"/>
    <w:rsid w:val="402E1B38"/>
    <w:rsid w:val="405A4873"/>
    <w:rsid w:val="407B3EBF"/>
    <w:rsid w:val="40DF693D"/>
    <w:rsid w:val="40F16A8E"/>
    <w:rsid w:val="41051E82"/>
    <w:rsid w:val="412545BE"/>
    <w:rsid w:val="4184340D"/>
    <w:rsid w:val="41E21275"/>
    <w:rsid w:val="429B3BEF"/>
    <w:rsid w:val="42F6152E"/>
    <w:rsid w:val="42FF6CFF"/>
    <w:rsid w:val="43771108"/>
    <w:rsid w:val="438C4E1A"/>
    <w:rsid w:val="446523D2"/>
    <w:rsid w:val="44DA0696"/>
    <w:rsid w:val="44E45943"/>
    <w:rsid w:val="44EF6BA2"/>
    <w:rsid w:val="4583380E"/>
    <w:rsid w:val="45993146"/>
    <w:rsid w:val="45E87E70"/>
    <w:rsid w:val="45EB3538"/>
    <w:rsid w:val="46440499"/>
    <w:rsid w:val="46771AC0"/>
    <w:rsid w:val="468204C7"/>
    <w:rsid w:val="47867C8A"/>
    <w:rsid w:val="479B001B"/>
    <w:rsid w:val="47D21CE6"/>
    <w:rsid w:val="48247721"/>
    <w:rsid w:val="48876507"/>
    <w:rsid w:val="48A14890"/>
    <w:rsid w:val="48BD0CBA"/>
    <w:rsid w:val="48FE3012"/>
    <w:rsid w:val="497D6B4B"/>
    <w:rsid w:val="4A3A5740"/>
    <w:rsid w:val="4A444898"/>
    <w:rsid w:val="4A4C0CEF"/>
    <w:rsid w:val="4A67403B"/>
    <w:rsid w:val="4A734E79"/>
    <w:rsid w:val="4AD27698"/>
    <w:rsid w:val="4B090E3B"/>
    <w:rsid w:val="4B1B114F"/>
    <w:rsid w:val="4B250368"/>
    <w:rsid w:val="4B7F6C9B"/>
    <w:rsid w:val="4B80477F"/>
    <w:rsid w:val="4B8D35BB"/>
    <w:rsid w:val="4BB01238"/>
    <w:rsid w:val="4C040D9E"/>
    <w:rsid w:val="4C2F1AF1"/>
    <w:rsid w:val="4C3F1A69"/>
    <w:rsid w:val="4C4C7D4D"/>
    <w:rsid w:val="4C692E82"/>
    <w:rsid w:val="4C6C5C1C"/>
    <w:rsid w:val="4CA7336B"/>
    <w:rsid w:val="4D001539"/>
    <w:rsid w:val="4D060FF1"/>
    <w:rsid w:val="4D714797"/>
    <w:rsid w:val="4D9F0EEA"/>
    <w:rsid w:val="4F095D32"/>
    <w:rsid w:val="4F1A4882"/>
    <w:rsid w:val="4F3C4DEC"/>
    <w:rsid w:val="4FE30561"/>
    <w:rsid w:val="504900D3"/>
    <w:rsid w:val="50AA076B"/>
    <w:rsid w:val="52336686"/>
    <w:rsid w:val="524D365C"/>
    <w:rsid w:val="52892F5B"/>
    <w:rsid w:val="52A21143"/>
    <w:rsid w:val="52F61709"/>
    <w:rsid w:val="53F046E7"/>
    <w:rsid w:val="53F701D3"/>
    <w:rsid w:val="54073585"/>
    <w:rsid w:val="545310AB"/>
    <w:rsid w:val="54782FFB"/>
    <w:rsid w:val="547F7A92"/>
    <w:rsid w:val="54B57763"/>
    <w:rsid w:val="54DB7C79"/>
    <w:rsid w:val="54E74E26"/>
    <w:rsid w:val="55580A4D"/>
    <w:rsid w:val="55B45B96"/>
    <w:rsid w:val="55DC1770"/>
    <w:rsid w:val="55EB22AC"/>
    <w:rsid w:val="561133F2"/>
    <w:rsid w:val="56571FFA"/>
    <w:rsid w:val="566C3557"/>
    <w:rsid w:val="56A92CC7"/>
    <w:rsid w:val="583244D3"/>
    <w:rsid w:val="58BD10F2"/>
    <w:rsid w:val="58CD33C2"/>
    <w:rsid w:val="596469D4"/>
    <w:rsid w:val="5A435D8A"/>
    <w:rsid w:val="5ABF7B48"/>
    <w:rsid w:val="5BBC1D09"/>
    <w:rsid w:val="5C34380B"/>
    <w:rsid w:val="5E2F0501"/>
    <w:rsid w:val="5E572216"/>
    <w:rsid w:val="5E7E040C"/>
    <w:rsid w:val="5F281AB8"/>
    <w:rsid w:val="5F912AC4"/>
    <w:rsid w:val="5FCC7BD4"/>
    <w:rsid w:val="5FD14724"/>
    <w:rsid w:val="601B0984"/>
    <w:rsid w:val="6063052F"/>
    <w:rsid w:val="60700F30"/>
    <w:rsid w:val="607B7DDA"/>
    <w:rsid w:val="611F5A7B"/>
    <w:rsid w:val="61A70F0F"/>
    <w:rsid w:val="61A76748"/>
    <w:rsid w:val="6295188E"/>
    <w:rsid w:val="62B731FE"/>
    <w:rsid w:val="63023C80"/>
    <w:rsid w:val="635C4A37"/>
    <w:rsid w:val="636D3AA1"/>
    <w:rsid w:val="64375D75"/>
    <w:rsid w:val="64F22548"/>
    <w:rsid w:val="64FF32AE"/>
    <w:rsid w:val="659106E2"/>
    <w:rsid w:val="65AB236D"/>
    <w:rsid w:val="65B8080F"/>
    <w:rsid w:val="66453BD3"/>
    <w:rsid w:val="66483EC5"/>
    <w:rsid w:val="66704DB4"/>
    <w:rsid w:val="67102453"/>
    <w:rsid w:val="68A67F29"/>
    <w:rsid w:val="68AF4719"/>
    <w:rsid w:val="68C15CCA"/>
    <w:rsid w:val="68D450F8"/>
    <w:rsid w:val="697D619C"/>
    <w:rsid w:val="69EE3D79"/>
    <w:rsid w:val="6A0E091D"/>
    <w:rsid w:val="6ABA50AD"/>
    <w:rsid w:val="6B58725B"/>
    <w:rsid w:val="6BA94127"/>
    <w:rsid w:val="6BFE46EA"/>
    <w:rsid w:val="6C7F53F2"/>
    <w:rsid w:val="6C8B20CC"/>
    <w:rsid w:val="6F433E0D"/>
    <w:rsid w:val="6F447A17"/>
    <w:rsid w:val="6F724563"/>
    <w:rsid w:val="6FF77ECA"/>
    <w:rsid w:val="704217E5"/>
    <w:rsid w:val="7060279C"/>
    <w:rsid w:val="71020119"/>
    <w:rsid w:val="71152000"/>
    <w:rsid w:val="721756F7"/>
    <w:rsid w:val="7231680E"/>
    <w:rsid w:val="726E602B"/>
    <w:rsid w:val="729D3834"/>
    <w:rsid w:val="72AC1CC9"/>
    <w:rsid w:val="73D531DE"/>
    <w:rsid w:val="74327FA3"/>
    <w:rsid w:val="74F750D9"/>
    <w:rsid w:val="754972D6"/>
    <w:rsid w:val="76185133"/>
    <w:rsid w:val="767A50EB"/>
    <w:rsid w:val="76B21779"/>
    <w:rsid w:val="76ED37EF"/>
    <w:rsid w:val="770F21D1"/>
    <w:rsid w:val="78A7019A"/>
    <w:rsid w:val="79BA3B0E"/>
    <w:rsid w:val="7AA15F10"/>
    <w:rsid w:val="7ABB6962"/>
    <w:rsid w:val="7AF4539C"/>
    <w:rsid w:val="7BFEEA97"/>
    <w:rsid w:val="7C013D85"/>
    <w:rsid w:val="7C662C4B"/>
    <w:rsid w:val="7C7FB7F5"/>
    <w:rsid w:val="7D090CF7"/>
    <w:rsid w:val="7D578562"/>
    <w:rsid w:val="7DB40A20"/>
    <w:rsid w:val="7E136A50"/>
    <w:rsid w:val="7E49765A"/>
    <w:rsid w:val="7E4C0FEB"/>
    <w:rsid w:val="7EBE0C5A"/>
    <w:rsid w:val="7EFB3C47"/>
    <w:rsid w:val="7EFEFCA7"/>
    <w:rsid w:val="7F5342F2"/>
    <w:rsid w:val="7F850ECB"/>
    <w:rsid w:val="7FDC9BAD"/>
    <w:rsid w:val="7FEB08DE"/>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3"/>
    <w:qFormat/>
    <w:uiPriority w:val="0"/>
    <w:pPr>
      <w:keepNext/>
      <w:outlineLvl w:val="0"/>
    </w:pPr>
    <w:rPr>
      <w:sz w:val="28"/>
      <w:szCs w:val="24"/>
    </w:rPr>
  </w:style>
  <w:style w:type="paragraph" w:styleId="3">
    <w:name w:val="heading 2"/>
    <w:basedOn w:val="1"/>
    <w:next w:val="1"/>
    <w:link w:val="11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5"/>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6"/>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80"/>
    <w:qFormat/>
    <w:uiPriority w:val="0"/>
    <w:pPr>
      <w:shd w:val="clear" w:color="auto" w:fill="000080"/>
    </w:pPr>
  </w:style>
  <w:style w:type="paragraph" w:styleId="8">
    <w:name w:val="annotation text"/>
    <w:basedOn w:val="1"/>
    <w:link w:val="74"/>
    <w:semiHidden/>
    <w:qFormat/>
    <w:uiPriority w:val="99"/>
    <w:pPr>
      <w:jc w:val="left"/>
    </w:pPr>
  </w:style>
  <w:style w:type="paragraph" w:styleId="9">
    <w:name w:val="Body Text 3"/>
    <w:basedOn w:val="1"/>
    <w:link w:val="95"/>
    <w:unhideWhenUsed/>
    <w:qFormat/>
    <w:uiPriority w:val="99"/>
    <w:pPr>
      <w:spacing w:after="120"/>
    </w:pPr>
    <w:rPr>
      <w:rFonts w:ascii="Calibri" w:hAnsi="Calibri"/>
      <w:sz w:val="16"/>
      <w:szCs w:val="16"/>
      <w:lang w:val="zh-CN"/>
    </w:rPr>
  </w:style>
  <w:style w:type="paragraph" w:styleId="10">
    <w:name w:val="Body Text"/>
    <w:basedOn w:val="1"/>
    <w:next w:val="11"/>
    <w:link w:val="69"/>
    <w:qFormat/>
    <w:uiPriority w:val="0"/>
    <w:pPr>
      <w:spacing w:after="120"/>
    </w:pPr>
    <w:rPr>
      <w:szCs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next w:val="13"/>
    <w:link w:val="58"/>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7"/>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7"/>
    <w:qFormat/>
    <w:uiPriority w:val="0"/>
    <w:rPr>
      <w:rFonts w:ascii="Arial" w:hAnsi="Arial" w:eastAsia="楷体_GB2312"/>
      <w:sz w:val="28"/>
    </w:rPr>
  </w:style>
  <w:style w:type="paragraph" w:styleId="19">
    <w:name w:val="Body Text Indent 2"/>
    <w:basedOn w:val="1"/>
    <w:link w:val="60"/>
    <w:qFormat/>
    <w:uiPriority w:val="0"/>
    <w:pPr>
      <w:tabs>
        <w:tab w:val="left" w:pos="720"/>
      </w:tabs>
      <w:ind w:right="-506" w:rightChars="-241" w:firstLine="538" w:firstLineChars="192"/>
    </w:pPr>
    <w:rPr>
      <w:rFonts w:eastAsia="仿宋_GB2312"/>
      <w:sz w:val="28"/>
    </w:rPr>
  </w:style>
  <w:style w:type="paragraph" w:styleId="20">
    <w:name w:val="Balloon Text"/>
    <w:basedOn w:val="1"/>
    <w:link w:val="71"/>
    <w:qFormat/>
    <w:uiPriority w:val="0"/>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6"/>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8"/>
    <w:next w:val="8"/>
    <w:link w:val="75"/>
    <w:semiHidden/>
    <w:qFormat/>
    <w:uiPriority w:val="99"/>
    <w:rPr>
      <w:b/>
      <w:bCs/>
    </w:rPr>
  </w:style>
  <w:style w:type="paragraph" w:styleId="33">
    <w:name w:val="Body Text First Indent"/>
    <w:basedOn w:val="10"/>
    <w:unhideWhenUsed/>
    <w:qFormat/>
    <w:uiPriority w:val="99"/>
    <w:pPr>
      <w:spacing w:line="400" w:lineRule="atLeast"/>
      <w:ind w:firstLine="426"/>
    </w:pPr>
    <w:rPr>
      <w:sz w:val="24"/>
      <w:szCs w:val="20"/>
    </w:rPr>
  </w:style>
  <w:style w:type="paragraph" w:styleId="34">
    <w:name w:val="Body Text First Indent 2"/>
    <w:basedOn w:val="12"/>
    <w:next w:val="1"/>
    <w:unhideWhenUsed/>
    <w:qFormat/>
    <w:uiPriority w:val="99"/>
    <w:pPr>
      <w:ind w:firstLine="420" w:firstLineChars="200"/>
    </w:pPr>
    <w:rPr>
      <w:rFonts w:ascii="Calibri" w:hAnsi="Calibri"/>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style>
  <w:style w:type="character" w:styleId="42">
    <w:name w:val="HTML Typewriter"/>
    <w:basedOn w:val="37"/>
    <w:semiHidden/>
    <w:unhideWhenUsed/>
    <w:qFormat/>
    <w:uiPriority w:val="99"/>
    <w:rPr>
      <w:rFonts w:hint="default"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ascii="monospace" w:hAnsi="monospace" w:eastAsia="monospace" w:cs="monospace"/>
      <w:sz w:val="20"/>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hint="default" w:ascii="monospace" w:hAnsi="monospace" w:eastAsia="monospace" w:cs="monospace"/>
    </w:rPr>
  </w:style>
  <w:style w:type="character" w:customStyle="1" w:styleId="51">
    <w:name w:val="页眉 Char"/>
    <w:basedOn w:val="37"/>
    <w:link w:val="22"/>
    <w:qFormat/>
    <w:uiPriority w:val="0"/>
    <w:rPr>
      <w:sz w:val="18"/>
      <w:szCs w:val="18"/>
    </w:rPr>
  </w:style>
  <w:style w:type="character" w:customStyle="1" w:styleId="52">
    <w:name w:val="页脚 Char"/>
    <w:basedOn w:val="37"/>
    <w:link w:val="21"/>
    <w:qFormat/>
    <w:uiPriority w:val="0"/>
    <w:rPr>
      <w:sz w:val="18"/>
      <w:szCs w:val="18"/>
    </w:rPr>
  </w:style>
  <w:style w:type="character" w:customStyle="1" w:styleId="53">
    <w:name w:val="标题 1 Char"/>
    <w:basedOn w:val="37"/>
    <w:link w:val="2"/>
    <w:qFormat/>
    <w:uiPriority w:val="0"/>
    <w:rPr>
      <w:rFonts w:ascii="Times New Roman" w:hAnsi="Times New Roman" w:eastAsia="宋体" w:cs="Times New Roman"/>
      <w:sz w:val="28"/>
      <w:szCs w:val="24"/>
    </w:rPr>
  </w:style>
  <w:style w:type="character" w:customStyle="1" w:styleId="54">
    <w:name w:val="标题 2 Char"/>
    <w:basedOn w:val="37"/>
    <w:link w:val="3"/>
    <w:qFormat/>
    <w:uiPriority w:val="0"/>
    <w:rPr>
      <w:rFonts w:ascii="Arial" w:hAnsi="Arial" w:eastAsia="黑体" w:cs="Times New Roman"/>
      <w:b/>
      <w:kern w:val="0"/>
      <w:sz w:val="32"/>
      <w:szCs w:val="20"/>
    </w:rPr>
  </w:style>
  <w:style w:type="character" w:customStyle="1" w:styleId="55">
    <w:name w:val="标题 3 Char"/>
    <w:basedOn w:val="37"/>
    <w:link w:val="4"/>
    <w:qFormat/>
    <w:uiPriority w:val="0"/>
    <w:rPr>
      <w:rFonts w:ascii="Times New Roman" w:hAnsi="Times New Roman" w:eastAsia="宋体" w:cs="Times New Roman"/>
      <w:b/>
      <w:bCs/>
      <w:sz w:val="32"/>
      <w:szCs w:val="32"/>
      <w:lang w:val="zh-CN" w:eastAsia="zh-CN"/>
    </w:rPr>
  </w:style>
  <w:style w:type="character" w:customStyle="1" w:styleId="56">
    <w:name w:val="标题 4 Char"/>
    <w:basedOn w:val="37"/>
    <w:link w:val="5"/>
    <w:qFormat/>
    <w:uiPriority w:val="0"/>
    <w:rPr>
      <w:rFonts w:ascii="Arial" w:hAnsi="Arial" w:eastAsia="黑体" w:cs="Times New Roman"/>
      <w:b/>
      <w:kern w:val="0"/>
      <w:sz w:val="28"/>
      <w:szCs w:val="20"/>
    </w:rPr>
  </w:style>
  <w:style w:type="character" w:customStyle="1" w:styleId="57">
    <w:name w:val="日期 Char"/>
    <w:basedOn w:val="37"/>
    <w:link w:val="18"/>
    <w:qFormat/>
    <w:uiPriority w:val="0"/>
    <w:rPr>
      <w:rFonts w:ascii="Arial" w:hAnsi="Arial" w:eastAsia="楷体_GB2312" w:cs="Times New Roman"/>
      <w:sz w:val="28"/>
      <w:szCs w:val="20"/>
    </w:rPr>
  </w:style>
  <w:style w:type="character" w:customStyle="1" w:styleId="58">
    <w:name w:val="正文文本缩进 Char"/>
    <w:basedOn w:val="37"/>
    <w:link w:val="12"/>
    <w:qFormat/>
    <w:uiPriority w:val="0"/>
    <w:rPr>
      <w:rFonts w:ascii="Times New Roman" w:hAnsi="Times New Roman" w:eastAsia="仿宋_GB2312" w:cs="Times New Roman"/>
      <w:sz w:val="28"/>
      <w:szCs w:val="20"/>
    </w:rPr>
  </w:style>
  <w:style w:type="paragraph" w:customStyle="1" w:styleId="59">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0">
    <w:name w:val="正文文本缩进 2 Char"/>
    <w:basedOn w:val="37"/>
    <w:link w:val="19"/>
    <w:qFormat/>
    <w:uiPriority w:val="0"/>
    <w:rPr>
      <w:rFonts w:ascii="Times New Roman" w:hAnsi="Times New Roman" w:eastAsia="仿宋_GB2312" w:cs="Times New Roman"/>
      <w:sz w:val="28"/>
      <w:szCs w:val="20"/>
    </w:rPr>
  </w:style>
  <w:style w:type="paragraph" w:customStyle="1" w:styleId="61">
    <w:name w:val="样式1"/>
    <w:basedOn w:val="1"/>
    <w:qFormat/>
    <w:uiPriority w:val="0"/>
    <w:pPr>
      <w:numPr>
        <w:ilvl w:val="0"/>
        <w:numId w:val="1"/>
      </w:numPr>
      <w:adjustRightInd w:val="0"/>
      <w:textAlignment w:val="baseline"/>
    </w:pPr>
    <w:rPr>
      <w:rFonts w:ascii="宋体" w:hAnsi="宋体"/>
      <w:kern w:val="0"/>
    </w:rPr>
  </w:style>
  <w:style w:type="paragraph" w:customStyle="1" w:styleId="62">
    <w:name w:val="样式 宋体 五号 行距: 单倍行距"/>
    <w:basedOn w:val="1"/>
    <w:qFormat/>
    <w:uiPriority w:val="0"/>
    <w:pPr>
      <w:adjustRightInd w:val="0"/>
      <w:jc w:val="left"/>
      <w:textAlignment w:val="baseline"/>
    </w:pPr>
    <w:rPr>
      <w:rFonts w:ascii="宋体" w:hAnsi="宋体"/>
      <w:kern w:val="0"/>
    </w:rPr>
  </w:style>
  <w:style w:type="paragraph" w:customStyle="1" w:styleId="63">
    <w:name w:val="样式 标题 2 + 宋体 五号 行距: 单倍行距"/>
    <w:basedOn w:val="3"/>
    <w:qFormat/>
    <w:uiPriority w:val="0"/>
    <w:pPr>
      <w:spacing w:line="240" w:lineRule="auto"/>
    </w:pPr>
    <w:rPr>
      <w:rFonts w:ascii="宋体" w:hAnsi="宋体" w:eastAsia="宋体"/>
      <w:sz w:val="21"/>
    </w:rPr>
  </w:style>
  <w:style w:type="paragraph" w:customStyle="1" w:styleId="64">
    <w:name w:val="Char Char Char Char Char"/>
    <w:basedOn w:val="1"/>
    <w:qFormat/>
    <w:uiPriority w:val="0"/>
    <w:rPr>
      <w:rFonts w:ascii="Tahoma" w:hAnsi="Tahoma"/>
      <w:sz w:val="24"/>
    </w:rPr>
  </w:style>
  <w:style w:type="paragraph" w:customStyle="1" w:styleId="65">
    <w:name w:val="Char"/>
    <w:basedOn w:val="1"/>
    <w:qFormat/>
    <w:uiPriority w:val="0"/>
    <w:rPr>
      <w:rFonts w:ascii="Tahoma" w:hAnsi="Tahoma"/>
      <w:sz w:val="24"/>
    </w:rPr>
  </w:style>
  <w:style w:type="character" w:customStyle="1" w:styleId="66">
    <w:name w:val="正文文本缩进 3 Char"/>
    <w:basedOn w:val="37"/>
    <w:link w:val="26"/>
    <w:qFormat/>
    <w:uiPriority w:val="0"/>
    <w:rPr>
      <w:rFonts w:ascii="仿宋_GB2312" w:hAnsi="Arial" w:eastAsia="仿宋_GB2312" w:cs="Times New Roman"/>
      <w:sz w:val="28"/>
      <w:szCs w:val="24"/>
    </w:rPr>
  </w:style>
  <w:style w:type="paragraph" w:customStyle="1" w:styleId="67">
    <w:name w:val="Char1"/>
    <w:basedOn w:val="1"/>
    <w:qFormat/>
    <w:uiPriority w:val="0"/>
    <w:rPr>
      <w:rFonts w:ascii="Tahoma" w:hAnsi="Tahoma" w:eastAsia="仿宋_GB2312"/>
      <w:sz w:val="24"/>
    </w:rPr>
  </w:style>
  <w:style w:type="paragraph" w:customStyle="1" w:styleId="68">
    <w:name w:val="Char Char Char Char Char Char Char1 Char"/>
    <w:basedOn w:val="1"/>
    <w:qFormat/>
    <w:uiPriority w:val="0"/>
    <w:rPr>
      <w:rFonts w:ascii="Tahoma" w:hAnsi="Tahoma"/>
      <w:sz w:val="24"/>
    </w:rPr>
  </w:style>
  <w:style w:type="character" w:customStyle="1" w:styleId="69">
    <w:name w:val="正文文本 Char"/>
    <w:basedOn w:val="37"/>
    <w:link w:val="10"/>
    <w:qFormat/>
    <w:uiPriority w:val="0"/>
    <w:rPr>
      <w:rFonts w:ascii="Times New Roman" w:hAnsi="Times New Roman" w:eastAsia="宋体" w:cs="Times New Roman"/>
      <w:szCs w:val="24"/>
    </w:rPr>
  </w:style>
  <w:style w:type="paragraph" w:customStyle="1" w:styleId="70">
    <w:name w:val="Char Char Char Char"/>
    <w:basedOn w:val="1"/>
    <w:next w:val="1"/>
    <w:qFormat/>
    <w:uiPriority w:val="0"/>
    <w:pPr>
      <w:widowControl/>
      <w:spacing w:line="360" w:lineRule="auto"/>
      <w:jc w:val="left"/>
    </w:pPr>
  </w:style>
  <w:style w:type="character" w:customStyle="1" w:styleId="71">
    <w:name w:val="批注框文本 Char"/>
    <w:basedOn w:val="37"/>
    <w:link w:val="20"/>
    <w:qFormat/>
    <w:uiPriority w:val="0"/>
    <w:rPr>
      <w:rFonts w:ascii="Times New Roman" w:hAnsi="Times New Roman" w:eastAsia="宋体" w:cs="Times New Roman"/>
      <w:sz w:val="18"/>
      <w:szCs w:val="18"/>
    </w:rPr>
  </w:style>
  <w:style w:type="paragraph" w:customStyle="1" w:styleId="72">
    <w:name w:val="Char Char Char"/>
    <w:basedOn w:val="1"/>
    <w:qFormat/>
    <w:uiPriority w:val="0"/>
    <w:rPr>
      <w:rFonts w:ascii="Tahoma" w:hAnsi="Tahoma"/>
      <w:sz w:val="24"/>
    </w:rPr>
  </w:style>
  <w:style w:type="paragraph" w:customStyle="1" w:styleId="73">
    <w:name w:val="Char Char Char Char Char Char Char Char Char Char"/>
    <w:basedOn w:val="1"/>
    <w:qFormat/>
    <w:uiPriority w:val="0"/>
    <w:rPr>
      <w:rFonts w:ascii="Tahoma" w:hAnsi="Tahoma" w:cs="仿宋_GB2312"/>
      <w:sz w:val="24"/>
    </w:rPr>
  </w:style>
  <w:style w:type="character" w:customStyle="1" w:styleId="74">
    <w:name w:val="批注文字 Char"/>
    <w:basedOn w:val="37"/>
    <w:link w:val="8"/>
    <w:semiHidden/>
    <w:qFormat/>
    <w:uiPriority w:val="99"/>
    <w:rPr>
      <w:rFonts w:ascii="Times New Roman" w:hAnsi="Times New Roman" w:eastAsia="宋体" w:cs="Times New Roman"/>
      <w:szCs w:val="20"/>
    </w:rPr>
  </w:style>
  <w:style w:type="character" w:customStyle="1" w:styleId="75">
    <w:name w:val="批注主题 Char"/>
    <w:basedOn w:val="74"/>
    <w:link w:val="32"/>
    <w:semiHidden/>
    <w:qFormat/>
    <w:uiPriority w:val="99"/>
    <w:rPr>
      <w:rFonts w:ascii="Times New Roman" w:hAnsi="Times New Roman" w:eastAsia="宋体" w:cs="Times New Roman"/>
      <w:b/>
      <w:bCs/>
      <w:szCs w:val="20"/>
    </w:rPr>
  </w:style>
  <w:style w:type="paragraph" w:customStyle="1" w:styleId="76">
    <w:name w:val="Char Char Char Char Char Char"/>
    <w:basedOn w:val="1"/>
    <w:qFormat/>
    <w:uiPriority w:val="0"/>
  </w:style>
  <w:style w:type="character" w:customStyle="1" w:styleId="77">
    <w:name w:val="纯文本 Char"/>
    <w:link w:val="16"/>
    <w:qFormat/>
    <w:uiPriority w:val="0"/>
    <w:rPr>
      <w:rFonts w:ascii="宋体" w:hAnsi="Courier New" w:eastAsia="宋体"/>
    </w:rPr>
  </w:style>
  <w:style w:type="character" w:customStyle="1" w:styleId="78">
    <w:name w:val="纯文本 Char1"/>
    <w:basedOn w:val="37"/>
    <w:semiHidden/>
    <w:qFormat/>
    <w:uiPriority w:val="99"/>
    <w:rPr>
      <w:rFonts w:ascii="宋体" w:hAnsi="Courier New" w:eastAsia="宋体" w:cs="Courier New"/>
      <w:szCs w:val="21"/>
    </w:rPr>
  </w:style>
  <w:style w:type="paragraph" w:customStyle="1" w:styleId="79">
    <w:name w:val="Char12 Char Char Char"/>
    <w:basedOn w:val="1"/>
    <w:qFormat/>
    <w:uiPriority w:val="0"/>
  </w:style>
  <w:style w:type="character" w:customStyle="1" w:styleId="80">
    <w:name w:val="文档结构图 Char"/>
    <w:basedOn w:val="37"/>
    <w:link w:val="7"/>
    <w:qFormat/>
    <w:uiPriority w:val="0"/>
    <w:rPr>
      <w:rFonts w:ascii="Times New Roman" w:hAnsi="Times New Roman" w:eastAsia="宋体" w:cs="Times New Roman"/>
      <w:szCs w:val="20"/>
      <w:shd w:val="clear" w:color="auto" w:fill="000080"/>
    </w:rPr>
  </w:style>
  <w:style w:type="character" w:customStyle="1" w:styleId="81">
    <w:name w:val="style29"/>
    <w:qFormat/>
    <w:uiPriority w:val="0"/>
  </w:style>
  <w:style w:type="character" w:customStyle="1" w:styleId="82">
    <w:name w:val="正文1"/>
    <w:qFormat/>
    <w:uiPriority w:val="0"/>
  </w:style>
  <w:style w:type="character" w:customStyle="1" w:styleId="83">
    <w:name w:val="font11"/>
    <w:qFormat/>
    <w:uiPriority w:val="0"/>
    <w:rPr>
      <w:rFonts w:hint="default" w:ascii="Times New Roman" w:hAnsi="Times New Roman" w:cs="Times New Roman"/>
      <w:color w:val="3366FF"/>
      <w:sz w:val="24"/>
      <w:szCs w:val="24"/>
      <w:u w:val="none"/>
    </w:rPr>
  </w:style>
  <w:style w:type="character" w:customStyle="1" w:styleId="84">
    <w:name w:val="font21"/>
    <w:basedOn w:val="37"/>
    <w:qFormat/>
    <w:uiPriority w:val="0"/>
    <w:rPr>
      <w:rFonts w:hint="eastAsia" w:ascii="宋体" w:hAnsi="宋体" w:eastAsia="宋体"/>
      <w:color w:val="3366FF"/>
      <w:sz w:val="24"/>
      <w:szCs w:val="24"/>
      <w:u w:val="none"/>
    </w:rPr>
  </w:style>
  <w:style w:type="paragraph" w:customStyle="1" w:styleId="85">
    <w:name w:val="Char Char15"/>
    <w:basedOn w:val="1"/>
    <w:qFormat/>
    <w:uiPriority w:val="0"/>
    <w:rPr>
      <w:rFonts w:ascii="Tahoma" w:hAnsi="Tahoma" w:eastAsia="仿宋_GB2312"/>
      <w:sz w:val="24"/>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Char2"/>
    <w:basedOn w:val="1"/>
    <w:qFormat/>
    <w:uiPriority w:val="0"/>
    <w:pPr>
      <w:tabs>
        <w:tab w:val="left" w:pos="360"/>
      </w:tabs>
    </w:pPr>
    <w:rPr>
      <w:sz w:val="24"/>
      <w:szCs w:val="24"/>
    </w:rPr>
  </w:style>
  <w:style w:type="paragraph" w:customStyle="1" w:styleId="88">
    <w:name w:val="Char16"/>
    <w:basedOn w:val="1"/>
    <w:qFormat/>
    <w:uiPriority w:val="0"/>
    <w:rPr>
      <w:rFonts w:ascii="Tahoma" w:hAnsi="Tahoma" w:eastAsia="仿宋_GB2312"/>
      <w:sz w:val="24"/>
    </w:rPr>
  </w:style>
  <w:style w:type="paragraph" w:customStyle="1" w:styleId="89">
    <w:name w:val="Char Char1"/>
    <w:basedOn w:val="1"/>
    <w:qFormat/>
    <w:uiPriority w:val="0"/>
    <w:rPr>
      <w:rFonts w:ascii="Tahoma" w:hAnsi="Tahoma"/>
      <w:sz w:val="24"/>
    </w:rPr>
  </w:style>
  <w:style w:type="paragraph" w:customStyle="1" w:styleId="90">
    <w:name w:val="Char Char Char Char Char Char Char"/>
    <w:basedOn w:val="1"/>
    <w:qFormat/>
    <w:uiPriority w:val="0"/>
    <w:rPr>
      <w:szCs w:val="24"/>
    </w:rPr>
  </w:style>
  <w:style w:type="paragraph" w:customStyle="1" w:styleId="91">
    <w:name w:val="Char Char"/>
    <w:basedOn w:val="1"/>
    <w:qFormat/>
    <w:uiPriority w:val="0"/>
    <w:rPr>
      <w:rFonts w:ascii="Tahoma" w:hAnsi="Tahoma" w:cs="仿宋_GB2312"/>
      <w:sz w:val="24"/>
    </w:rPr>
  </w:style>
  <w:style w:type="paragraph" w:customStyle="1" w:styleId="92">
    <w:name w:val="Char Char2"/>
    <w:basedOn w:val="1"/>
    <w:qFormat/>
    <w:uiPriority w:val="0"/>
    <w:rPr>
      <w:rFonts w:ascii="Tahoma" w:hAnsi="Tahoma" w:cs="仿宋_GB2312"/>
      <w:sz w:val="24"/>
    </w:rPr>
  </w:style>
  <w:style w:type="paragraph" w:customStyle="1" w:styleId="93">
    <w:name w:val="Char Char Char1"/>
    <w:basedOn w:val="1"/>
    <w:qFormat/>
    <w:uiPriority w:val="0"/>
    <w:rPr>
      <w:rFonts w:ascii="Tahoma" w:hAnsi="Tahoma"/>
      <w:sz w:val="24"/>
    </w:rPr>
  </w:style>
  <w:style w:type="paragraph" w:customStyle="1" w:styleId="94">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5">
    <w:name w:val="正文文本 3 Char"/>
    <w:basedOn w:val="37"/>
    <w:link w:val="9"/>
    <w:qFormat/>
    <w:uiPriority w:val="99"/>
    <w:rPr>
      <w:rFonts w:ascii="Calibri" w:hAnsi="Calibri" w:eastAsia="宋体" w:cs="Times New Roman"/>
      <w:sz w:val="16"/>
      <w:szCs w:val="16"/>
      <w:lang w:val="zh-CN" w:eastAsia="zh-CN"/>
    </w:rPr>
  </w:style>
  <w:style w:type="paragraph" w:customStyle="1" w:styleId="9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7">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8">
    <w:name w:val="style23"/>
    <w:qFormat/>
    <w:uiPriority w:val="0"/>
    <w:rPr>
      <w:rFonts w:ascii="Times New Roman" w:hAnsi="Times New Roman" w:eastAsia="宋体"/>
    </w:rPr>
  </w:style>
  <w:style w:type="paragraph" w:customStyle="1" w:styleId="99">
    <w:name w:val="p0"/>
    <w:basedOn w:val="1"/>
    <w:qFormat/>
    <w:uiPriority w:val="0"/>
    <w:pPr>
      <w:widowControl/>
      <w:jc w:val="left"/>
    </w:pPr>
    <w:rPr>
      <w:rFonts w:ascii="等线" w:hAnsi="等线" w:eastAsia="等线" w:cs="等线"/>
      <w:kern w:val="0"/>
      <w:sz w:val="20"/>
      <w:szCs w:val="22"/>
    </w:rPr>
  </w:style>
  <w:style w:type="paragraph" w:customStyle="1" w:styleId="100">
    <w:name w:val="列表段落1"/>
    <w:basedOn w:val="1"/>
    <w:qFormat/>
    <w:uiPriority w:val="34"/>
    <w:pPr>
      <w:ind w:firstLine="420" w:firstLineChars="200"/>
    </w:pPr>
    <w:rPr>
      <w:szCs w:val="24"/>
    </w:rPr>
  </w:style>
  <w:style w:type="paragraph" w:customStyle="1" w:styleId="101">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2">
    <w:name w:val="List Paragraph"/>
    <w:basedOn w:val="1"/>
    <w:qFormat/>
    <w:uiPriority w:val="99"/>
    <w:pPr>
      <w:ind w:firstLine="420" w:firstLineChars="200"/>
    </w:pPr>
  </w:style>
  <w:style w:type="table" w:customStyle="1" w:styleId="10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4">
    <w:name w:val="first-child3"/>
    <w:basedOn w:val="37"/>
    <w:qFormat/>
    <w:uiPriority w:val="0"/>
  </w:style>
  <w:style w:type="character" w:customStyle="1" w:styleId="105">
    <w:name w:val="layui-this"/>
    <w:basedOn w:val="37"/>
    <w:qFormat/>
    <w:uiPriority w:val="0"/>
    <w:rPr>
      <w:bdr w:val="single" w:color="EEEEEE" w:sz="6" w:space="0"/>
      <w:shd w:val="clear" w:fill="FFFFFF"/>
    </w:rPr>
  </w:style>
  <w:style w:type="character" w:customStyle="1" w:styleId="106">
    <w:name w:val="NormalCharacter"/>
    <w:semiHidden/>
    <w:qFormat/>
    <w:uiPriority w:val="0"/>
    <w:rPr>
      <w:kern w:val="2"/>
      <w:sz w:val="21"/>
      <w:lang w:val="en-US" w:eastAsia="zh-CN" w:bidi="ar-SA"/>
    </w:rPr>
  </w:style>
  <w:style w:type="paragraph" w:customStyle="1" w:styleId="107">
    <w:name w:val="Table Paragraph"/>
    <w:basedOn w:val="1"/>
    <w:qFormat/>
    <w:uiPriority w:val="1"/>
    <w:pPr>
      <w:widowControl/>
      <w:adjustRightInd w:val="0"/>
      <w:snapToGrid w:val="0"/>
      <w:spacing w:after="200"/>
      <w:jc w:val="left"/>
    </w:pPr>
    <w:rPr>
      <w:rFonts w:ascii="宋体" w:hAnsi="宋体" w:cs="宋体"/>
      <w:kern w:val="0"/>
      <w:sz w:val="22"/>
      <w:szCs w:val="22"/>
      <w:lang w:val="zh-CN" w:bidi="zh-CN"/>
    </w:rPr>
  </w:style>
  <w:style w:type="paragraph" w:customStyle="1" w:styleId="108">
    <w:name w:val="目录"/>
    <w:basedOn w:val="1"/>
    <w:qFormat/>
    <w:uiPriority w:val="0"/>
    <w:pPr>
      <w:widowControl/>
      <w:jc w:val="center"/>
    </w:pPr>
    <w:rPr>
      <w:rFonts w:ascii="宋体"/>
      <w:b/>
      <w:kern w:val="0"/>
      <w:sz w:val="36"/>
      <w:szCs w:val="20"/>
    </w:rPr>
  </w:style>
  <w:style w:type="character" w:customStyle="1" w:styleId="109">
    <w:name w:val="hover7"/>
    <w:basedOn w:val="37"/>
    <w:qFormat/>
    <w:uiPriority w:val="0"/>
    <w:rPr>
      <w:u w:val="single"/>
    </w:rPr>
  </w:style>
  <w:style w:type="character" w:customStyle="1" w:styleId="110">
    <w:name w:val="first-child2"/>
    <w:basedOn w:val="37"/>
    <w:qFormat/>
    <w:uiPriority w:val="0"/>
  </w:style>
  <w:style w:type="character" w:customStyle="1" w:styleId="111">
    <w:name w:val="first-child"/>
    <w:basedOn w:val="37"/>
    <w:qFormat/>
    <w:uiPriority w:val="0"/>
  </w:style>
  <w:style w:type="character" w:customStyle="1" w:styleId="112">
    <w:name w:val="hover6"/>
    <w:basedOn w:val="37"/>
    <w:qFormat/>
    <w:uiPriority w:val="0"/>
    <w:rPr>
      <w:u w:val="single"/>
    </w:rPr>
  </w:style>
  <w:style w:type="character" w:customStyle="1" w:styleId="113">
    <w:name w:val="hover"/>
    <w:basedOn w:val="37"/>
    <w:qFormat/>
    <w:uiPriority w:val="0"/>
    <w:rPr>
      <w:u w:val="single"/>
    </w:rPr>
  </w:style>
  <w:style w:type="character" w:customStyle="1" w:styleId="114">
    <w:name w:val="标题 2 Char1"/>
    <w:link w:val="3"/>
    <w:autoRedefine/>
    <w:qFormat/>
    <w:uiPriority w:val="0"/>
    <w:rPr>
      <w:rFonts w:ascii="Arial" w:hAnsi="Arial" w:eastAsia="黑体"/>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6BDE9-714D-4926-99DB-64701F7740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6338</Words>
  <Characters>6576</Characters>
  <Lines>186</Lines>
  <Paragraphs>52</Paragraphs>
  <TotalTime>904</TotalTime>
  <ScaleCrop>false</ScaleCrop>
  <LinksUpToDate>false</LinksUpToDate>
  <CharactersWithSpaces>6757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WPS_1670548635</cp:lastModifiedBy>
  <cp:lastPrinted>2022-11-18T02:30:00Z</cp:lastPrinted>
  <dcterms:modified xsi:type="dcterms:W3CDTF">2025-11-21T00:37:24Z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F9A6B78CF8C34A71B7A9CA5B4A667DB1_13</vt:lpwstr>
  </property>
  <property fmtid="{D5CDD505-2E9C-101B-9397-08002B2CF9AE}" pid="4" name="KSOTemplateDocerSaveRecord">
    <vt:lpwstr>eyJoZGlkIjoiMTQ4OTg5YzNjMmQwNTIxMjU0NGQwYTk0MDljODdjOWUiLCJ1c2VySWQiOiIxNDU4MTg3NTA2In0=</vt:lpwstr>
  </property>
</Properties>
</file>