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5372">
      <w:pPr>
        <w:adjustRightInd w:val="0"/>
        <w:snapToGrid w:val="0"/>
        <w:spacing w:before="54" w:beforeLines="20" w:after="54" w:afterLines="20" w:line="540" w:lineRule="exact"/>
        <w:ind w:right="15" w:rightChars="7"/>
        <w:jc w:val="center"/>
        <w:rPr>
          <w:rFonts w:hint="eastAsia" w:ascii="宋体" w:hAnsi="宋体" w:cs="宋体"/>
          <w:b/>
          <w:color w:val="auto"/>
          <w:sz w:val="52"/>
          <w:szCs w:val="44"/>
          <w:highlight w:val="none"/>
        </w:rPr>
      </w:pPr>
    </w:p>
    <w:p w14:paraId="18E41B35">
      <w:pPr>
        <w:pStyle w:val="2"/>
        <w:rPr>
          <w:rFonts w:hint="eastAsia"/>
          <w:color w:val="auto"/>
          <w:highlight w:val="none"/>
        </w:rPr>
      </w:pPr>
    </w:p>
    <w:p w14:paraId="3BA57B9C">
      <w:pPr>
        <w:pStyle w:val="6"/>
        <w:bidi w:val="0"/>
        <w:jc w:val="center"/>
        <w:rPr>
          <w:rFonts w:hint="eastAsia"/>
          <w:sz w:val="48"/>
          <w:szCs w:val="48"/>
          <w:lang w:val="en-US" w:eastAsia="zh-CN"/>
        </w:rPr>
      </w:pPr>
      <w:r>
        <w:rPr>
          <w:rFonts w:hint="eastAsia"/>
          <w:sz w:val="48"/>
          <w:szCs w:val="48"/>
          <w:lang w:val="en-US" w:eastAsia="zh-CN"/>
        </w:rPr>
        <w:t>六安市金安区妇幼保健院</w:t>
      </w:r>
    </w:p>
    <w:p w14:paraId="6E520579">
      <w:pPr>
        <w:pStyle w:val="6"/>
        <w:bidi w:val="0"/>
        <w:jc w:val="center"/>
        <w:rPr>
          <w:rFonts w:hint="eastAsia"/>
          <w:sz w:val="48"/>
          <w:szCs w:val="48"/>
          <w:lang w:val="en-US" w:eastAsia="zh-CN"/>
        </w:rPr>
      </w:pPr>
      <w:r>
        <w:rPr>
          <w:rFonts w:hint="eastAsia"/>
          <w:sz w:val="48"/>
          <w:szCs w:val="48"/>
          <w:lang w:val="en-US" w:eastAsia="zh-CN"/>
        </w:rPr>
        <w:t>代理购电服务项目</w:t>
      </w:r>
    </w:p>
    <w:p w14:paraId="038F98FC">
      <w:pPr>
        <w:adjustRightInd w:val="0"/>
        <w:snapToGrid w:val="0"/>
        <w:spacing w:before="54" w:beforeLines="20" w:after="54" w:afterLines="20" w:line="1100" w:lineRule="exact"/>
        <w:ind w:right="15" w:rightChars="7"/>
        <w:jc w:val="center"/>
        <w:rPr>
          <w:rFonts w:hint="eastAsia" w:ascii="宋体" w:hAnsi="宋体" w:eastAsia="宋体" w:cs="宋体"/>
          <w:b/>
          <w:bCs/>
          <w:color w:val="auto"/>
          <w:sz w:val="56"/>
          <w:szCs w:val="56"/>
          <w:highlight w:val="none"/>
          <w:lang w:eastAsia="zh-CN"/>
        </w:rPr>
      </w:pPr>
      <w:r>
        <w:rPr>
          <w:rFonts w:hint="eastAsia" w:ascii="宋体" w:hAnsi="宋体" w:eastAsia="宋体" w:cs="宋体"/>
          <w:b/>
          <w:bCs/>
          <w:color w:val="auto"/>
          <w:sz w:val="56"/>
          <w:szCs w:val="56"/>
          <w:highlight w:val="none"/>
          <w:lang w:eastAsia="zh-CN"/>
        </w:rPr>
        <w:t>磋商文件</w:t>
      </w:r>
    </w:p>
    <w:p w14:paraId="47D938CD">
      <w:pPr>
        <w:adjustRightInd w:val="0"/>
        <w:snapToGrid w:val="0"/>
        <w:spacing w:before="54" w:beforeLines="20" w:after="54" w:afterLines="20" w:line="540" w:lineRule="exact"/>
        <w:ind w:right="15" w:rightChars="7"/>
        <w:jc w:val="center"/>
        <w:rPr>
          <w:rFonts w:hint="default" w:ascii="宋体" w:hAnsi="宋体" w:eastAsia="宋体"/>
          <w:b/>
          <w:bCs/>
          <w:color w:val="auto"/>
          <w:sz w:val="32"/>
          <w:szCs w:val="32"/>
          <w:highlight w:val="none"/>
          <w:lang w:val="en-US"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val="en-US" w:eastAsia="zh-CN"/>
        </w:rPr>
        <w:t xml:space="preserve"> JAFY-2025-004</w:t>
      </w:r>
    </w:p>
    <w:p w14:paraId="0FEFDC04">
      <w:pPr>
        <w:pStyle w:val="108"/>
        <w:widowControl w:val="0"/>
        <w:adjustRightInd w:val="0"/>
        <w:snapToGrid w:val="0"/>
        <w:spacing w:before="54" w:beforeLines="20" w:after="54" w:afterLines="20" w:line="540" w:lineRule="exact"/>
        <w:ind w:right="15" w:rightChars="7"/>
        <w:rPr>
          <w:rFonts w:hint="eastAsia" w:hAnsi="宋体"/>
          <w:color w:val="auto"/>
          <w:kern w:val="2"/>
          <w:szCs w:val="24"/>
          <w:highlight w:val="none"/>
        </w:rPr>
      </w:pPr>
    </w:p>
    <w:p w14:paraId="76B1D25E">
      <w:pPr>
        <w:adjustRightInd w:val="0"/>
        <w:snapToGrid w:val="0"/>
        <w:spacing w:before="54" w:beforeLines="20" w:after="54" w:afterLines="20" w:line="540" w:lineRule="exact"/>
        <w:ind w:right="15" w:rightChars="7"/>
        <w:jc w:val="center"/>
        <w:rPr>
          <w:rFonts w:hint="eastAsia" w:ascii="宋体" w:hAnsi="宋体"/>
          <w:b/>
          <w:color w:val="auto"/>
          <w:sz w:val="32"/>
          <w:highlight w:val="none"/>
        </w:rPr>
      </w:pPr>
    </w:p>
    <w:p w14:paraId="4347BAF2">
      <w:pPr>
        <w:adjustRightInd w:val="0"/>
        <w:snapToGrid w:val="0"/>
        <w:spacing w:before="54" w:beforeLines="20" w:after="54" w:afterLines="20" w:line="540" w:lineRule="exact"/>
        <w:ind w:right="15" w:rightChars="7"/>
        <w:jc w:val="center"/>
        <w:rPr>
          <w:rFonts w:hint="eastAsia" w:ascii="宋体" w:hAnsi="宋体"/>
          <w:b/>
          <w:color w:val="auto"/>
          <w:sz w:val="32"/>
          <w:highlight w:val="none"/>
        </w:rPr>
      </w:pPr>
    </w:p>
    <w:p w14:paraId="66531660">
      <w:pPr>
        <w:pStyle w:val="2"/>
        <w:rPr>
          <w:rFonts w:hint="eastAsia"/>
          <w:color w:val="auto"/>
          <w:highlight w:val="none"/>
        </w:rPr>
      </w:pPr>
    </w:p>
    <w:p w14:paraId="04D7BE1A">
      <w:pPr>
        <w:adjustRightInd w:val="0"/>
        <w:snapToGrid w:val="0"/>
        <w:spacing w:line="480" w:lineRule="exact"/>
        <w:ind w:right="15" w:rightChars="7"/>
        <w:jc w:val="center"/>
        <w:rPr>
          <w:rFonts w:hint="eastAsia" w:ascii="宋体" w:hAnsi="宋体"/>
          <w:b/>
          <w:color w:val="auto"/>
          <w:sz w:val="32"/>
          <w:highlight w:val="none"/>
        </w:rPr>
      </w:pPr>
    </w:p>
    <w:p w14:paraId="731864A6">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7DDE04F1">
      <w:pPr>
        <w:pStyle w:val="33"/>
        <w:rPr>
          <w:rFonts w:hint="eastAsia"/>
          <w:color w:val="auto"/>
          <w:highlight w:val="none"/>
        </w:rPr>
      </w:pPr>
    </w:p>
    <w:p w14:paraId="6A221548">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5B033027">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2BC5AABF">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7B0348B1">
      <w:pPr>
        <w:adjustRightInd w:val="0"/>
        <w:snapToGrid w:val="0"/>
        <w:spacing w:before="54" w:beforeLines="20" w:after="54" w:afterLines="20" w:line="540" w:lineRule="exact"/>
        <w:ind w:right="15" w:rightChars="7"/>
        <w:rPr>
          <w:rFonts w:hint="eastAsia" w:ascii="宋体" w:hAnsi="宋体"/>
          <w:b/>
          <w:color w:val="auto"/>
          <w:sz w:val="36"/>
          <w:szCs w:val="36"/>
          <w:highlight w:val="none"/>
        </w:rPr>
      </w:pPr>
    </w:p>
    <w:p w14:paraId="7355CDF7">
      <w:pPr>
        <w:adjustRightInd w:val="0"/>
        <w:snapToGrid w:val="0"/>
        <w:spacing w:before="54" w:beforeLines="20" w:after="54" w:afterLines="20" w:line="540" w:lineRule="exact"/>
        <w:ind w:right="15" w:rightChars="7"/>
        <w:jc w:val="center"/>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lang w:eastAsia="zh-CN"/>
        </w:rPr>
        <w:t>采购人</w:t>
      </w:r>
      <w:r>
        <w:rPr>
          <w:rFonts w:hint="eastAsia" w:ascii="宋体" w:hAnsi="宋体"/>
          <w:b/>
          <w:color w:val="auto"/>
          <w:sz w:val="36"/>
          <w:szCs w:val="36"/>
          <w:highlight w:val="none"/>
        </w:rPr>
        <w:t>：</w:t>
      </w:r>
      <w:r>
        <w:rPr>
          <w:rFonts w:hint="eastAsia" w:ascii="宋体" w:hAnsi="宋体"/>
          <w:b/>
          <w:color w:val="auto"/>
          <w:sz w:val="36"/>
          <w:szCs w:val="36"/>
          <w:highlight w:val="none"/>
          <w:lang w:val="en-US" w:eastAsia="zh-CN"/>
        </w:rPr>
        <w:t>六安市金安区妇幼保健院</w:t>
      </w:r>
    </w:p>
    <w:p w14:paraId="6E05E21C">
      <w:pPr>
        <w:adjustRightInd w:val="0"/>
        <w:snapToGrid w:val="0"/>
        <w:spacing w:before="54" w:beforeLines="20" w:after="54" w:afterLines="20" w:line="540" w:lineRule="exact"/>
        <w:ind w:right="15" w:rightChars="7"/>
        <w:jc w:val="center"/>
        <w:rPr>
          <w:rFonts w:hint="eastAsia" w:ascii="宋体" w:hAnsi="宋体"/>
          <w:b/>
          <w:color w:val="auto"/>
          <w:sz w:val="36"/>
          <w:szCs w:val="36"/>
          <w:highlight w:val="none"/>
        </w:rPr>
      </w:pPr>
      <w:r>
        <w:rPr>
          <w:rFonts w:hint="eastAsia" w:ascii="宋体" w:hAnsi="宋体"/>
          <w:b/>
          <w:color w:val="auto"/>
          <w:sz w:val="36"/>
          <w:szCs w:val="36"/>
          <w:highlight w:val="none"/>
          <w:lang w:val="en-US" w:eastAsia="zh-CN"/>
        </w:rPr>
        <w:t>2025</w:t>
      </w:r>
      <w:r>
        <w:rPr>
          <w:rFonts w:hint="eastAsia" w:ascii="宋体" w:hAnsi="宋体"/>
          <w:b/>
          <w:color w:val="auto"/>
          <w:sz w:val="36"/>
          <w:szCs w:val="36"/>
          <w:highlight w:val="none"/>
        </w:rPr>
        <w:t>年</w:t>
      </w:r>
      <w:r>
        <w:rPr>
          <w:rFonts w:hint="eastAsia" w:ascii="宋体" w:hAnsi="宋体"/>
          <w:b/>
          <w:color w:val="auto"/>
          <w:sz w:val="36"/>
          <w:szCs w:val="36"/>
          <w:highlight w:val="none"/>
          <w:lang w:val="en-US" w:eastAsia="zh-CN"/>
        </w:rPr>
        <w:t>12</w:t>
      </w:r>
      <w:r>
        <w:rPr>
          <w:rFonts w:hint="eastAsia" w:ascii="宋体" w:hAnsi="宋体"/>
          <w:b/>
          <w:color w:val="auto"/>
          <w:sz w:val="36"/>
          <w:szCs w:val="36"/>
          <w:highlight w:val="none"/>
        </w:rPr>
        <w:t>月</w:t>
      </w:r>
    </w:p>
    <w:p w14:paraId="58C3ECEE">
      <w:pPr>
        <w:adjustRightInd w:val="0"/>
        <w:snapToGrid w:val="0"/>
        <w:spacing w:before="54" w:beforeLines="20" w:after="54" w:afterLines="20" w:line="540" w:lineRule="exact"/>
        <w:ind w:right="15" w:rightChars="7"/>
        <w:jc w:val="center"/>
        <w:rPr>
          <w:rFonts w:hint="eastAsia" w:ascii="隶书" w:hAnsi="宋体" w:eastAsia="隶书"/>
          <w:b/>
          <w:color w:val="auto"/>
          <w:sz w:val="36"/>
          <w:szCs w:val="36"/>
          <w:highlight w:val="none"/>
        </w:rPr>
      </w:pPr>
    </w:p>
    <w:p w14:paraId="231D7103">
      <w:pPr>
        <w:jc w:val="center"/>
        <w:rPr>
          <w:b/>
          <w:color w:val="auto"/>
          <w:sz w:val="28"/>
          <w:szCs w:val="28"/>
          <w:highlight w:val="none"/>
        </w:rPr>
      </w:pPr>
      <w:r>
        <w:rPr>
          <w:rFonts w:hint="eastAsia"/>
          <w:b/>
          <w:color w:val="auto"/>
          <w:sz w:val="28"/>
          <w:szCs w:val="28"/>
          <w:highlight w:val="none"/>
        </w:rPr>
        <w:br w:type="page"/>
      </w:r>
    </w:p>
    <w:p w14:paraId="240A0936">
      <w:pPr>
        <w:jc w:val="center"/>
        <w:rPr>
          <w:rFonts w:hint="eastAsia" w:ascii="宋体" w:hAnsi="宋体" w:cs="宋体"/>
          <w:b/>
          <w:color w:val="auto"/>
          <w:sz w:val="36"/>
          <w:szCs w:val="36"/>
          <w:highlight w:val="none"/>
        </w:rPr>
      </w:pPr>
    </w:p>
    <w:p w14:paraId="23DE9B41">
      <w:pPr>
        <w:jc w:val="center"/>
        <w:rPr>
          <w:rFonts w:ascii="宋体" w:hAnsi="宋体" w:cs="宋体"/>
          <w:color w:val="auto"/>
          <w:sz w:val="36"/>
          <w:szCs w:val="36"/>
          <w:highlight w:val="none"/>
        </w:rPr>
      </w:pPr>
      <w:r>
        <w:rPr>
          <w:rFonts w:hint="eastAsia" w:ascii="宋体" w:hAnsi="宋体" w:cs="宋体"/>
          <w:b/>
          <w:color w:val="auto"/>
          <w:sz w:val="36"/>
          <w:szCs w:val="36"/>
          <w:highlight w:val="none"/>
        </w:rPr>
        <w:t>目  录</w:t>
      </w:r>
    </w:p>
    <w:p w14:paraId="6ED7C1EC">
      <w:pPr>
        <w:pStyle w:val="27"/>
        <w:tabs>
          <w:tab w:val="right" w:leader="dot" w:pos="8844"/>
        </w:tabs>
        <w:spacing w:line="420" w:lineRule="exact"/>
        <w:ind w:left="0" w:leftChars="0" w:firstLine="360" w:firstLineChars="150"/>
        <w:rPr>
          <w:rFonts w:ascii="宋体" w:hAnsi="宋体" w:cs="宋体"/>
          <w:b/>
          <w:bCs/>
          <w:color w:val="auto"/>
          <w:sz w:val="24"/>
          <w:szCs w:val="24"/>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"_Toc32264" </w:instrText>
      </w:r>
      <w:r>
        <w:rPr>
          <w:color w:val="auto"/>
          <w:highlight w:val="none"/>
        </w:rPr>
        <w:fldChar w:fldCharType="separate"/>
      </w:r>
      <w:r>
        <w:rPr>
          <w:rFonts w:hint="eastAsia" w:ascii="宋体" w:hAnsi="宋体" w:cs="宋体"/>
          <w:b/>
          <w:bCs/>
          <w:color w:val="auto"/>
          <w:sz w:val="24"/>
          <w:szCs w:val="24"/>
          <w:highlight w:val="none"/>
          <w:lang w:eastAsia="zh-CN"/>
        </w:rPr>
        <w:t>磋商</w:t>
      </w:r>
      <w:r>
        <w:rPr>
          <w:rFonts w:hint="eastAsia" w:ascii="宋体" w:hAnsi="宋体" w:cs="宋体"/>
          <w:b/>
          <w:bCs/>
          <w:color w:val="auto"/>
          <w:sz w:val="24"/>
          <w:szCs w:val="24"/>
          <w:highlight w:val="none"/>
        </w:rPr>
        <w:t>采购公告</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_Toc32264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3</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2F958B5">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"_Toc15193" </w:instrText>
      </w:r>
      <w:r>
        <w:rPr>
          <w:color w:val="auto"/>
          <w:highlight w:val="none"/>
        </w:rPr>
        <w:fldChar w:fldCharType="separate"/>
      </w:r>
      <w:r>
        <w:rPr>
          <w:rFonts w:hint="eastAsia" w:ascii="宋体" w:hAnsi="宋体" w:cs="宋体"/>
          <w:color w:val="auto"/>
          <w:sz w:val="24"/>
          <w:szCs w:val="24"/>
          <w:highlight w:val="none"/>
        </w:rPr>
        <w:t>一、供应商须知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_Toc15193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3B2181E">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"_Toc30170" </w:instrText>
      </w:r>
      <w:r>
        <w:rPr>
          <w:color w:val="auto"/>
          <w:highlight w:val="none"/>
        </w:rPr>
        <w:fldChar w:fldCharType="separate"/>
      </w:r>
      <w:r>
        <w:rPr>
          <w:rFonts w:hint="eastAsia" w:ascii="宋体" w:hAnsi="宋体" w:cs="宋体"/>
          <w:color w:val="auto"/>
          <w:sz w:val="24"/>
          <w:szCs w:val="24"/>
          <w:highlight w:val="none"/>
        </w:rPr>
        <w:t>（一）须知前附表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_Toc30170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56EEF90">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"_Toc15181" </w:instrText>
      </w:r>
      <w:r>
        <w:rPr>
          <w:color w:val="auto"/>
          <w:highlight w:val="none"/>
        </w:rPr>
        <w:fldChar w:fldCharType="separate"/>
      </w:r>
      <w:r>
        <w:rPr>
          <w:rFonts w:hint="eastAsia" w:ascii="宋体" w:hAnsi="宋体" w:cs="宋体"/>
          <w:color w:val="auto"/>
          <w:sz w:val="24"/>
          <w:szCs w:val="24"/>
          <w:highlight w:val="none"/>
        </w:rPr>
        <w:t>（二）供应商资格</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_Toc15181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F0F6783">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"_Toc8254" </w:instrText>
      </w:r>
      <w:r>
        <w:rPr>
          <w:color w:val="auto"/>
          <w:highlight w:val="none"/>
        </w:rPr>
        <w:fldChar w:fldCharType="separate"/>
      </w:r>
      <w:r>
        <w:rPr>
          <w:rFonts w:hint="eastAsia" w:ascii="宋体" w:hAnsi="宋体" w:cs="宋体"/>
          <w:color w:val="auto"/>
          <w:sz w:val="24"/>
          <w:szCs w:val="24"/>
          <w:highlight w:val="none"/>
        </w:rPr>
        <w:t>（三）供应商必须提交的响应文件内容</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_Toc8254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40D7D73">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"_Toc21758" </w:instrText>
      </w:r>
      <w:r>
        <w:rPr>
          <w:color w:val="auto"/>
          <w:highlight w:val="none"/>
        </w:rPr>
        <w:fldChar w:fldCharType="separate"/>
      </w:r>
      <w:r>
        <w:rPr>
          <w:rFonts w:hint="eastAsia" w:ascii="宋体" w:hAnsi="宋体" w:cs="宋体"/>
          <w:color w:val="auto"/>
          <w:sz w:val="24"/>
          <w:szCs w:val="24"/>
          <w:highlight w:val="none"/>
        </w:rPr>
        <w:t>（四）响应文件的提交</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_Toc21758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01E9EFC">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"_Toc31839" </w:instrText>
      </w:r>
      <w:r>
        <w:rPr>
          <w:color w:val="auto"/>
          <w:highlight w:val="none"/>
        </w:rPr>
        <w:fldChar w:fldCharType="separate"/>
      </w:r>
      <w:r>
        <w:rPr>
          <w:rFonts w:hint="eastAsia" w:ascii="宋体" w:hAnsi="宋体" w:cs="宋体"/>
          <w:color w:val="auto"/>
          <w:sz w:val="24"/>
          <w:szCs w:val="24"/>
          <w:highlight w:val="none"/>
        </w:rPr>
        <w:t>（五）磋商程序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_Toc31839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2616F06">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"_Toc32569" </w:instrText>
      </w:r>
      <w:r>
        <w:rPr>
          <w:color w:val="auto"/>
          <w:highlight w:val="none"/>
        </w:rPr>
        <w:fldChar w:fldCharType="separate"/>
      </w:r>
      <w:r>
        <w:rPr>
          <w:rFonts w:hint="eastAsia" w:ascii="宋体" w:hAnsi="宋体" w:cs="宋体"/>
          <w:color w:val="auto"/>
          <w:sz w:val="24"/>
          <w:szCs w:val="24"/>
          <w:highlight w:val="none"/>
        </w:rPr>
        <w:t>（六）评审及异常情况处理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_Toc32569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11</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58E17F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"_Toc18563" </w:instrText>
      </w:r>
      <w:r>
        <w:rPr>
          <w:color w:val="auto"/>
          <w:highlight w:val="none"/>
        </w:rPr>
        <w:fldChar w:fldCharType="separate"/>
      </w:r>
      <w:r>
        <w:rPr>
          <w:rFonts w:hint="eastAsia" w:ascii="宋体" w:hAnsi="宋体" w:cs="宋体"/>
          <w:color w:val="auto"/>
          <w:sz w:val="24"/>
          <w:szCs w:val="24"/>
          <w:highlight w:val="none"/>
        </w:rPr>
        <w:t>（七）报价响应及答疑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_Toc18563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3CEF54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"_Toc4239" </w:instrText>
      </w:r>
      <w:r>
        <w:rPr>
          <w:color w:val="auto"/>
          <w:highlight w:val="none"/>
        </w:rPr>
        <w:fldChar w:fldCharType="separate"/>
      </w:r>
      <w:r>
        <w:rPr>
          <w:rFonts w:hint="eastAsia" w:ascii="宋体" w:hAnsi="宋体" w:cs="宋体"/>
          <w:color w:val="auto"/>
          <w:sz w:val="24"/>
          <w:szCs w:val="24"/>
          <w:highlight w:val="none"/>
        </w:rPr>
        <w:t>（八）合同的签订</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_Toc4239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4153DD4">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"_Toc16479" </w:instrText>
      </w:r>
      <w:r>
        <w:rPr>
          <w:color w:val="auto"/>
          <w:highlight w:val="none"/>
        </w:rPr>
        <w:fldChar w:fldCharType="separate"/>
      </w:r>
      <w:r>
        <w:rPr>
          <w:rFonts w:hint="eastAsia" w:ascii="宋体" w:hAnsi="宋体" w:cs="宋体"/>
          <w:color w:val="auto"/>
          <w:sz w:val="24"/>
          <w:szCs w:val="24"/>
          <w:highlight w:val="none"/>
        </w:rPr>
        <w:t>（九）澄清及变更</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_Toc16479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48E4DD9">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"_Toc32257" </w:instrText>
      </w:r>
      <w:r>
        <w:rPr>
          <w:color w:val="auto"/>
          <w:highlight w:val="none"/>
        </w:rPr>
        <w:fldChar w:fldCharType="separate"/>
      </w:r>
      <w:r>
        <w:rPr>
          <w:rFonts w:hint="eastAsia" w:ascii="宋体" w:hAnsi="宋体" w:cs="宋体"/>
          <w:color w:val="auto"/>
          <w:sz w:val="24"/>
          <w:szCs w:val="24"/>
          <w:highlight w:val="none"/>
        </w:rPr>
        <w:t>（十）验收</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_Toc32257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B236A14">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"_Toc28436" </w:instrText>
      </w:r>
      <w:r>
        <w:rPr>
          <w:color w:val="auto"/>
          <w:highlight w:val="none"/>
        </w:rPr>
        <w:fldChar w:fldCharType="separate"/>
      </w:r>
      <w:r>
        <w:rPr>
          <w:rFonts w:hint="eastAsia" w:ascii="宋体" w:hAnsi="宋体" w:cs="宋体"/>
          <w:color w:val="auto"/>
          <w:sz w:val="24"/>
          <w:szCs w:val="24"/>
          <w:highlight w:val="none"/>
        </w:rPr>
        <w:t>（十一）质疑</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_Toc28436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4BFC606">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"_Toc10852" </w:instrText>
      </w:r>
      <w:r>
        <w:rPr>
          <w:color w:val="auto"/>
          <w:highlight w:val="none"/>
        </w:rPr>
        <w:fldChar w:fldCharType="separate"/>
      </w:r>
      <w:r>
        <w:rPr>
          <w:rFonts w:hint="eastAsia" w:ascii="宋体" w:hAnsi="宋体" w:cs="宋体"/>
          <w:b/>
          <w:bCs/>
          <w:color w:val="auto"/>
          <w:sz w:val="24"/>
          <w:szCs w:val="24"/>
          <w:highlight w:val="none"/>
        </w:rPr>
        <w:t>二、采购合同</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_Toc10852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16</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B3ADD4C">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"_Toc26511" </w:instrText>
      </w:r>
      <w:r>
        <w:rPr>
          <w:color w:val="auto"/>
          <w:highlight w:val="none"/>
        </w:rPr>
        <w:fldChar w:fldCharType="separate"/>
      </w:r>
      <w:r>
        <w:rPr>
          <w:rFonts w:hint="eastAsia" w:ascii="宋体" w:hAnsi="宋体" w:cs="宋体"/>
          <w:b/>
          <w:bCs/>
          <w:color w:val="auto"/>
          <w:sz w:val="24"/>
          <w:szCs w:val="24"/>
          <w:highlight w:val="none"/>
        </w:rPr>
        <w:t>三、采购需求</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_Toc26511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17</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0F47BA5A">
      <w:pPr>
        <w:pStyle w:val="27"/>
        <w:tabs>
          <w:tab w:val="right" w:leader="dot" w:pos="8844"/>
        </w:tabs>
        <w:spacing w:line="420" w:lineRule="exact"/>
        <w:ind w:left="0" w:leftChars="0" w:firstLine="420" w:firstLineChars="200"/>
        <w:rPr>
          <w:rFonts w:ascii="宋体" w:hAnsi="宋体" w:cs="宋体"/>
          <w:b/>
          <w:bCs/>
          <w:color w:val="auto"/>
          <w:sz w:val="24"/>
          <w:szCs w:val="24"/>
          <w:highlight w:val="none"/>
        </w:rPr>
      </w:pPr>
      <w:r>
        <w:rPr>
          <w:color w:val="auto"/>
          <w:highlight w:val="none"/>
        </w:rPr>
        <w:fldChar w:fldCharType="begin"/>
      </w:r>
      <w:r>
        <w:rPr>
          <w:color w:val="auto"/>
          <w:highlight w:val="none"/>
        </w:rPr>
        <w:instrText xml:space="preserve"> HYPERLINK \l "_Toc21165" </w:instrText>
      </w:r>
      <w:r>
        <w:rPr>
          <w:color w:val="auto"/>
          <w:highlight w:val="none"/>
        </w:rPr>
        <w:fldChar w:fldCharType="separate"/>
      </w:r>
      <w:r>
        <w:rPr>
          <w:rFonts w:hint="eastAsia" w:ascii="宋体" w:hAnsi="宋体" w:cs="宋体"/>
          <w:b/>
          <w:bCs/>
          <w:color w:val="auto"/>
          <w:sz w:val="24"/>
          <w:szCs w:val="24"/>
          <w:highlight w:val="none"/>
        </w:rPr>
        <w:t>四、评分标准</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_Toc21165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18</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57730FD3">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"_Toc6567" </w:instrText>
      </w:r>
      <w:r>
        <w:rPr>
          <w:color w:val="auto"/>
          <w:highlight w:val="none"/>
        </w:rPr>
        <w:fldChar w:fldCharType="separate"/>
      </w:r>
      <w:r>
        <w:rPr>
          <w:rFonts w:hint="eastAsia" w:ascii="宋体" w:hAnsi="宋体" w:cs="宋体"/>
          <w:b/>
          <w:bCs/>
          <w:color w:val="auto"/>
          <w:sz w:val="24"/>
          <w:szCs w:val="24"/>
          <w:highlight w:val="none"/>
        </w:rPr>
        <w:t>五、响应文件格式</w:t>
      </w:r>
      <w:r>
        <w:rPr>
          <w:rFonts w:hint="eastAsia" w:ascii="宋体" w:hAnsi="宋体" w:cs="宋体"/>
          <w:b/>
          <w:bCs/>
          <w:color w:val="auto"/>
          <w:sz w:val="24"/>
          <w:szCs w:val="24"/>
          <w:highlight w:val="none"/>
        </w:rPr>
        <w:tab/>
      </w:r>
      <w:r>
        <w:rPr>
          <w:rFonts w:hint="eastAsia" w:ascii="宋体" w:hAnsi="宋体" w:cs="宋体"/>
          <w:b/>
          <w:bCs/>
          <w:color w:val="auto"/>
          <w:sz w:val="24"/>
          <w:szCs w:val="24"/>
          <w:highlight w:val="none"/>
        </w:rPr>
        <w:fldChar w:fldCharType="begin"/>
      </w:r>
      <w:r>
        <w:rPr>
          <w:rFonts w:hint="eastAsia" w:ascii="宋体" w:hAnsi="宋体" w:cs="宋体"/>
          <w:b/>
          <w:bCs/>
          <w:color w:val="auto"/>
          <w:sz w:val="24"/>
          <w:szCs w:val="24"/>
          <w:highlight w:val="none"/>
        </w:rPr>
        <w:instrText xml:space="preserve"> PAGEREF _Toc6567 \h </w:instrText>
      </w:r>
      <w:r>
        <w:rPr>
          <w:rFonts w:hint="eastAsia" w:ascii="宋体" w:hAnsi="宋体" w:cs="宋体"/>
          <w:b/>
          <w:bCs/>
          <w:color w:val="auto"/>
          <w:sz w:val="24"/>
          <w:szCs w:val="24"/>
          <w:highlight w:val="none"/>
        </w:rPr>
        <w:fldChar w:fldCharType="separate"/>
      </w:r>
      <w:r>
        <w:rPr>
          <w:rFonts w:hint="eastAsia" w:ascii="宋体" w:hAnsi="宋体" w:cs="宋体"/>
          <w:b/>
          <w:bCs/>
          <w:color w:val="auto"/>
          <w:sz w:val="24"/>
          <w:szCs w:val="24"/>
          <w:highlight w:val="none"/>
        </w:rPr>
        <w:t>20</w:t>
      </w:r>
      <w:r>
        <w:rPr>
          <w:rFonts w:hint="eastAsia" w:ascii="宋体" w:hAnsi="宋体" w:cs="宋体"/>
          <w:b/>
          <w:bCs/>
          <w:color w:val="auto"/>
          <w:sz w:val="24"/>
          <w:szCs w:val="24"/>
          <w:highlight w:val="none"/>
        </w:rPr>
        <w:fldChar w:fldCharType="end"/>
      </w:r>
      <w:r>
        <w:rPr>
          <w:rFonts w:hint="eastAsia" w:ascii="宋体" w:hAnsi="宋体" w:cs="宋体"/>
          <w:b/>
          <w:bCs/>
          <w:color w:val="auto"/>
          <w:sz w:val="24"/>
          <w:szCs w:val="24"/>
          <w:highlight w:val="none"/>
        </w:rPr>
        <w:fldChar w:fldCharType="end"/>
      </w:r>
    </w:p>
    <w:p w14:paraId="23A0F505">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"_Toc26458" </w:instrText>
      </w:r>
      <w:r>
        <w:rPr>
          <w:color w:val="auto"/>
          <w:highlight w:val="none"/>
        </w:rPr>
        <w:fldChar w:fldCharType="separate"/>
      </w:r>
      <w:r>
        <w:rPr>
          <w:rFonts w:hint="eastAsia" w:ascii="宋体" w:hAnsi="宋体" w:cs="宋体"/>
          <w:color w:val="auto"/>
          <w:sz w:val="24"/>
          <w:szCs w:val="24"/>
          <w:highlight w:val="none"/>
        </w:rPr>
        <w:t>附件一 报价单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_Toc26458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ED93069">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"_Toc22931" </w:instrText>
      </w:r>
      <w:r>
        <w:rPr>
          <w:color w:val="auto"/>
          <w:highlight w:val="none"/>
        </w:rPr>
        <w:fldChar w:fldCharType="separate"/>
      </w:r>
      <w:r>
        <w:rPr>
          <w:rFonts w:hint="eastAsia" w:ascii="宋体" w:hAnsi="宋体" w:cs="宋体"/>
          <w:color w:val="auto"/>
          <w:sz w:val="24"/>
          <w:szCs w:val="24"/>
          <w:highlight w:val="none"/>
        </w:rPr>
        <w:t>附件二 供应商基本信息</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_Toc22931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0FECF0C">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"_Toc221" </w:instrText>
      </w:r>
      <w:r>
        <w:rPr>
          <w:color w:val="auto"/>
          <w:highlight w:val="none"/>
        </w:rPr>
        <w:fldChar w:fldCharType="separate"/>
      </w:r>
      <w:r>
        <w:rPr>
          <w:rFonts w:hint="eastAsia" w:ascii="宋体" w:hAnsi="宋体" w:cs="宋体"/>
          <w:color w:val="auto"/>
          <w:sz w:val="24"/>
          <w:szCs w:val="24"/>
          <w:highlight w:val="none"/>
        </w:rPr>
        <w:t>附件三 磋商授权书</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_Toc221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F84A097">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"_Toc11949" </w:instrText>
      </w:r>
      <w:r>
        <w:rPr>
          <w:color w:val="auto"/>
          <w:highlight w:val="none"/>
        </w:rPr>
        <w:fldChar w:fldCharType="separate"/>
      </w:r>
      <w:r>
        <w:rPr>
          <w:rFonts w:hint="eastAsia" w:ascii="宋体" w:hAnsi="宋体" w:cs="宋体"/>
          <w:color w:val="auto"/>
          <w:sz w:val="24"/>
          <w:szCs w:val="24"/>
          <w:highlight w:val="none"/>
        </w:rPr>
        <w:t>附件四 磋商响应函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_Toc11949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5ED08BE3">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"_Toc31586" </w:instrText>
      </w:r>
      <w:r>
        <w:rPr>
          <w:color w:val="auto"/>
          <w:highlight w:val="none"/>
        </w:rPr>
        <w:fldChar w:fldCharType="separate"/>
      </w:r>
      <w:r>
        <w:rPr>
          <w:rFonts w:hint="eastAsia" w:ascii="宋体" w:hAnsi="宋体" w:cs="宋体"/>
          <w:color w:val="auto"/>
          <w:sz w:val="24"/>
          <w:szCs w:val="24"/>
          <w:highlight w:val="none"/>
        </w:rPr>
        <w:t xml:space="preserve">附件五 </w:t>
      </w:r>
      <w:r>
        <w:rPr>
          <w:rFonts w:hint="eastAsia" w:ascii="宋体" w:hAnsi="宋体" w:cs="宋体"/>
          <w:color w:val="auto"/>
          <w:sz w:val="24"/>
          <w:szCs w:val="24"/>
          <w:highlight w:val="none"/>
          <w:lang w:val="zh-CN"/>
        </w:rPr>
        <w:t>无重大违法记录声明函、无不良信用记录承诺函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_Toc31586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25</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38480BE">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"_Toc30636" </w:instrText>
      </w:r>
      <w:r>
        <w:rPr>
          <w:color w:val="auto"/>
          <w:highlight w:val="none"/>
        </w:rPr>
        <w:fldChar w:fldCharType="separate"/>
      </w:r>
      <w:r>
        <w:rPr>
          <w:rFonts w:hint="eastAsia" w:ascii="宋体" w:hAnsi="宋体" w:cs="宋体"/>
          <w:color w:val="auto"/>
          <w:sz w:val="24"/>
          <w:szCs w:val="24"/>
          <w:highlight w:val="none"/>
        </w:rPr>
        <w:t xml:space="preserve">附件六 </w:t>
      </w:r>
      <w:r>
        <w:rPr>
          <w:rFonts w:hint="eastAsia" w:ascii="宋体" w:hAnsi="宋体" w:cs="宋体"/>
          <w:color w:val="auto"/>
          <w:sz w:val="24"/>
          <w:szCs w:val="24"/>
          <w:highlight w:val="none"/>
          <w:lang w:val="zh-CN"/>
        </w:rPr>
        <w:t>响应情况表</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_Toc30636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26</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2524BA58">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"_Toc14930" </w:instrText>
      </w:r>
      <w:r>
        <w:rPr>
          <w:color w:val="auto"/>
          <w:highlight w:val="none"/>
        </w:rPr>
        <w:fldChar w:fldCharType="separate"/>
      </w:r>
      <w:r>
        <w:rPr>
          <w:rFonts w:hint="eastAsia" w:ascii="宋体" w:hAnsi="宋体" w:cs="宋体"/>
          <w:color w:val="auto"/>
          <w:sz w:val="24"/>
          <w:szCs w:val="24"/>
          <w:highlight w:val="none"/>
        </w:rPr>
        <w:t xml:space="preserve">附件七 </w:t>
      </w:r>
      <w:r>
        <w:rPr>
          <w:rFonts w:hint="eastAsia" w:ascii="宋体" w:hAnsi="宋体" w:eastAsia="宋体" w:cs="宋体"/>
          <w:color w:val="auto"/>
          <w:sz w:val="24"/>
          <w:szCs w:val="20"/>
          <w:highlight w:val="none"/>
        </w:rPr>
        <w:t>中小企业声明函</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残疾人福利性单位声明函</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_Toc14930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68C4B3DB">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"_Toc13546" </w:instrText>
      </w:r>
      <w:r>
        <w:rPr>
          <w:color w:val="auto"/>
          <w:highlight w:val="none"/>
        </w:rPr>
        <w:fldChar w:fldCharType="separate"/>
      </w:r>
      <w:r>
        <w:rPr>
          <w:rFonts w:hint="eastAsia" w:ascii="宋体" w:hAnsi="宋体" w:cs="宋体"/>
          <w:color w:val="auto"/>
          <w:sz w:val="24"/>
          <w:szCs w:val="24"/>
          <w:highlight w:val="none"/>
        </w:rPr>
        <w:t xml:space="preserve">附件八 </w:t>
      </w:r>
      <w:r>
        <w:rPr>
          <w:rFonts w:hint="eastAsia" w:ascii="宋体" w:hAnsi="宋体" w:eastAsia="宋体" w:cs="宋体"/>
          <w:color w:val="auto"/>
          <w:sz w:val="24"/>
          <w:szCs w:val="32"/>
          <w:highlight w:val="none"/>
        </w:rPr>
        <w:t>联合体协议</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_Toc13546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72C6BD34">
      <w:pPr>
        <w:pStyle w:val="27"/>
        <w:tabs>
          <w:tab w:val="right" w:leader="dot" w:pos="8844"/>
        </w:tabs>
        <w:spacing w:line="420" w:lineRule="exact"/>
        <w:ind w:left="0" w:leftChars="0" w:firstLine="420" w:firstLineChars="200"/>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"_Toc9853" </w:instrText>
      </w:r>
      <w:r>
        <w:rPr>
          <w:color w:val="auto"/>
          <w:highlight w:val="none"/>
        </w:rPr>
        <w:fldChar w:fldCharType="separate"/>
      </w:r>
      <w:r>
        <w:rPr>
          <w:rFonts w:hint="eastAsia" w:ascii="宋体" w:hAnsi="宋体" w:cs="宋体"/>
          <w:color w:val="auto"/>
          <w:sz w:val="24"/>
          <w:szCs w:val="24"/>
          <w:highlight w:val="none"/>
        </w:rPr>
        <w:t>附件</w:t>
      </w:r>
      <w:r>
        <w:rPr>
          <w:rFonts w:hint="eastAsia" w:ascii="宋体" w:hAnsi="宋体" w:cs="宋体"/>
          <w:color w:val="auto"/>
          <w:sz w:val="24"/>
          <w:szCs w:val="24"/>
          <w:highlight w:val="none"/>
          <w:lang w:eastAsia="zh-CN"/>
        </w:rPr>
        <w:t>九</w:t>
      </w:r>
      <w:r>
        <w:rPr>
          <w:rFonts w:hint="eastAsia" w:ascii="宋体" w:hAnsi="宋体" w:cs="宋体"/>
          <w:color w:val="auto"/>
          <w:sz w:val="24"/>
          <w:szCs w:val="24"/>
          <w:highlight w:val="none"/>
        </w:rPr>
        <w:t xml:space="preserve"> </w:t>
      </w:r>
      <w:r>
        <w:rPr>
          <w:rFonts w:hint="eastAsia" w:ascii="宋体" w:hAnsi="宋体" w:cs="宋体"/>
          <w:bCs/>
          <w:color w:val="auto"/>
          <w:sz w:val="24"/>
          <w:szCs w:val="24"/>
          <w:highlight w:val="none"/>
        </w:rPr>
        <w:t>磋商文件要求和供应商认为需要提供的其它说明和资料</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_Toc9853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FB0322B">
      <w:pPr>
        <w:pStyle w:val="27"/>
        <w:tabs>
          <w:tab w:val="right" w:leader="dot" w:pos="8844"/>
        </w:tabs>
        <w:spacing w:line="420" w:lineRule="exact"/>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fldChar w:fldCharType="end"/>
      </w:r>
    </w:p>
    <w:p w14:paraId="22D913D6">
      <w:pPr>
        <w:pStyle w:val="27"/>
        <w:tabs>
          <w:tab w:val="right" w:leader="dot" w:pos="8778"/>
        </w:tabs>
        <w:spacing w:line="420" w:lineRule="exact"/>
        <w:ind w:left="0" w:leftChars="0" w:firstLine="560" w:firstLineChars="200"/>
        <w:rPr>
          <w:rFonts w:ascii="宋体" w:hAnsi="宋体" w:cs="宋体"/>
          <w:color w:val="auto"/>
          <w:sz w:val="28"/>
          <w:szCs w:val="28"/>
          <w:highlight w:val="none"/>
          <w:u w:val="single"/>
        </w:rPr>
      </w:pPr>
    </w:p>
    <w:p w14:paraId="6596F74F">
      <w:pPr>
        <w:pStyle w:val="63"/>
        <w:ind w:firstLine="2923" w:firstLineChars="1040"/>
        <w:rPr>
          <w:color w:val="auto"/>
          <w:sz w:val="28"/>
          <w:szCs w:val="28"/>
          <w:highlight w:val="none"/>
        </w:rPr>
      </w:pPr>
      <w:bookmarkStart w:id="0" w:name="_Toc216158623"/>
      <w:bookmarkStart w:id="1" w:name="_Toc363199264"/>
      <w:r>
        <w:rPr>
          <w:rFonts w:hint="eastAsia"/>
          <w:color w:val="auto"/>
          <w:sz w:val="28"/>
          <w:szCs w:val="28"/>
          <w:highlight w:val="none"/>
        </w:rPr>
        <w:br w:type="page"/>
      </w:r>
    </w:p>
    <w:p w14:paraId="17A45F29">
      <w:pPr>
        <w:jc w:val="right"/>
        <w:rPr>
          <w:color w:val="auto"/>
          <w:highlight w:val="none"/>
        </w:rPr>
      </w:pPr>
      <w:r>
        <w:rPr>
          <w:rFonts w:hint="eastAsia" w:ascii="仿宋" w:hAnsi="仿宋" w:eastAsia="仿宋" w:cs="仿宋"/>
          <w:color w:val="auto"/>
          <w:kern w:val="2"/>
          <w:sz w:val="28"/>
          <w:szCs w:val="28"/>
          <w:highlight w:val="none"/>
          <w:shd w:val="clear" w:fill="FFFFFF"/>
          <w:lang w:val="en-US" w:eastAsia="zh-CN"/>
        </w:rPr>
        <w:t xml:space="preserve"> </w:t>
      </w:r>
      <w:r>
        <w:rPr>
          <w:rFonts w:hint="eastAsia" w:ascii="仿宋" w:hAnsi="仿宋" w:eastAsia="仿宋" w:cs="仿宋"/>
          <w:color w:val="auto"/>
          <w:kern w:val="2"/>
          <w:sz w:val="28"/>
          <w:szCs w:val="28"/>
          <w:highlight w:val="none"/>
          <w:shd w:val="clear" w:fill="FFFFFF"/>
        </w:rPr>
        <w:t xml:space="preserve">  </w:t>
      </w:r>
    </w:p>
    <w:p w14:paraId="1EB76E27">
      <w:pPr>
        <w:pStyle w:val="5"/>
        <w:spacing w:before="156" w:beforeLines="50" w:after="156" w:afterLines="50" w:line="520" w:lineRule="exact"/>
        <w:jc w:val="center"/>
        <w:rPr>
          <w:rFonts w:hint="eastAsia" w:ascii="黑体" w:hAnsi="黑体" w:cs="黑体"/>
          <w:b w:val="0"/>
          <w:bCs/>
          <w:sz w:val="44"/>
          <w:szCs w:val="44"/>
        </w:rPr>
      </w:pPr>
      <w:r>
        <w:rPr>
          <w:rFonts w:hint="eastAsia" w:ascii="黑体" w:hAnsi="黑体" w:cs="黑体"/>
          <w:b w:val="0"/>
          <w:bCs/>
          <w:sz w:val="44"/>
          <w:szCs w:val="44"/>
        </w:rPr>
        <w:t>六安市金安区妇幼保健院代理购电服务项目</w:t>
      </w:r>
    </w:p>
    <w:p w14:paraId="25FC2A83">
      <w:pPr>
        <w:pStyle w:val="5"/>
        <w:spacing w:before="156" w:beforeLines="50" w:after="156" w:afterLines="50" w:line="520" w:lineRule="exact"/>
        <w:jc w:val="center"/>
        <w:rPr>
          <w:rFonts w:ascii="黑体" w:hAnsi="宋体" w:cs="黑体"/>
          <w:b w:val="0"/>
          <w:sz w:val="28"/>
          <w:szCs w:val="28"/>
          <w:shd w:val="clear" w:color="auto" w:fill="FFFFFF"/>
        </w:rPr>
      </w:pPr>
      <w:r>
        <w:rPr>
          <w:rFonts w:hint="eastAsia" w:ascii="黑体" w:hAnsi="黑体" w:cs="黑体"/>
          <w:b w:val="0"/>
          <w:bCs/>
          <w:sz w:val="44"/>
          <w:szCs w:val="44"/>
        </w:rPr>
        <w:t>竞争性磋商采购公告</w:t>
      </w:r>
    </w:p>
    <w:p w14:paraId="5404F3E9">
      <w:pPr>
        <w:pStyle w:val="5"/>
        <w:keepNext w:val="0"/>
        <w:keepLines w:val="0"/>
        <w:widowControl/>
        <w:spacing w:before="0" w:after="0" w:line="520" w:lineRule="atLeast"/>
        <w:rPr>
          <w:rFonts w:ascii="微软雅黑" w:hAnsi="微软雅黑" w:eastAsia="微软雅黑" w:cs="微软雅黑"/>
          <w:b w:val="0"/>
          <w:sz w:val="21"/>
          <w:szCs w:val="21"/>
        </w:rPr>
      </w:pPr>
      <w:r>
        <w:rPr>
          <w:rFonts w:ascii="黑体" w:hAnsi="宋体" w:cs="黑体"/>
          <w:b w:val="0"/>
          <w:sz w:val="28"/>
          <w:szCs w:val="28"/>
          <w:shd w:val="clear" w:color="auto" w:fill="FFFFFF"/>
        </w:rPr>
        <w:t>一、项目基本情况</w:t>
      </w:r>
    </w:p>
    <w:p w14:paraId="4FC211D9">
      <w:pPr>
        <w:widowControl/>
        <w:spacing w:line="520" w:lineRule="atLeast"/>
        <w:ind w:firstLine="560"/>
        <w:jc w:val="left"/>
        <w:rPr>
          <w:rFonts w:hint="default" w:ascii="仿宋" w:hAnsi="仿宋" w:eastAsia="仿宋" w:cs="仿宋"/>
          <w:kern w:val="0"/>
          <w:sz w:val="28"/>
          <w:szCs w:val="28"/>
          <w:highlight w:val="none"/>
          <w:shd w:val="clear" w:color="auto" w:fill="FFFFFF"/>
          <w:lang w:val="en-US"/>
        </w:rPr>
      </w:pPr>
      <w:r>
        <w:rPr>
          <w:rFonts w:hint="eastAsia" w:ascii="仿宋" w:hAnsi="仿宋" w:eastAsia="仿宋" w:cs="仿宋"/>
          <w:kern w:val="0"/>
          <w:sz w:val="28"/>
          <w:szCs w:val="28"/>
          <w:highlight w:val="none"/>
          <w:shd w:val="clear" w:color="auto" w:fill="FFFFFF"/>
        </w:rPr>
        <w:t>1、项目编号：JAFY-2025-004</w:t>
      </w:r>
    </w:p>
    <w:p w14:paraId="205AD24A">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2、项目名称：六安市金安区妇幼保健院代理购电服务项目</w:t>
      </w:r>
    </w:p>
    <w:p w14:paraId="09E90704">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3、项目类型：</w:t>
      </w:r>
      <w:r>
        <w:rPr>
          <w:rFonts w:hint="eastAsia" w:ascii="仿宋" w:hAnsi="仿宋" w:eastAsia="仿宋" w:cs="仿宋"/>
          <w:kern w:val="0"/>
          <w:sz w:val="28"/>
          <w:szCs w:val="28"/>
          <w:highlight w:val="none"/>
          <w:shd w:val="clear" w:color="auto" w:fill="FFFFFF"/>
          <w:lang w:val="en-US" w:eastAsia="zh-CN"/>
        </w:rPr>
        <w:t>服务类</w:t>
      </w:r>
    </w:p>
    <w:p w14:paraId="5C5B0224">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4、采购方式：竞争性磋商</w:t>
      </w:r>
    </w:p>
    <w:p w14:paraId="718050F9">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5、预算金额：</w:t>
      </w:r>
      <w:r>
        <w:rPr>
          <w:rFonts w:hint="eastAsia" w:ascii="仿宋" w:hAnsi="仿宋" w:eastAsia="仿宋" w:cs="仿宋"/>
          <w:kern w:val="0"/>
          <w:sz w:val="28"/>
          <w:szCs w:val="28"/>
          <w:highlight w:val="none"/>
          <w:shd w:val="clear" w:color="auto" w:fill="FFFFFF"/>
          <w:lang w:val="en-US" w:eastAsia="zh-CN"/>
        </w:rPr>
        <w:t>/</w:t>
      </w:r>
    </w:p>
    <w:p w14:paraId="3FC1D8F4">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6、</w:t>
      </w:r>
      <w:r>
        <w:rPr>
          <w:rFonts w:hint="eastAsia" w:ascii="仿宋" w:hAnsi="仿宋" w:eastAsia="仿宋" w:cs="仿宋"/>
          <w:kern w:val="0"/>
          <w:sz w:val="28"/>
          <w:szCs w:val="28"/>
          <w:highlight w:val="none"/>
          <w:shd w:val="clear" w:color="auto" w:fill="FFFFFF"/>
          <w:lang w:val="en-US" w:eastAsia="zh-CN"/>
        </w:rPr>
        <w:t>固定价格</w:t>
      </w:r>
      <w:r>
        <w:rPr>
          <w:rFonts w:hint="eastAsia" w:ascii="仿宋" w:hAnsi="仿宋" w:eastAsia="仿宋" w:cs="仿宋"/>
          <w:kern w:val="0"/>
          <w:sz w:val="28"/>
          <w:szCs w:val="28"/>
          <w:highlight w:val="none"/>
          <w:shd w:val="clear" w:color="auto" w:fill="FFFFFF"/>
        </w:rPr>
        <w:t>最高限价：</w:t>
      </w:r>
      <w:r>
        <w:rPr>
          <w:rFonts w:hint="eastAsia" w:ascii="仿宋" w:hAnsi="仿宋" w:eastAsia="仿宋" w:cs="仿宋"/>
          <w:kern w:val="0"/>
          <w:sz w:val="28"/>
          <w:szCs w:val="28"/>
          <w:highlight w:val="none"/>
          <w:shd w:val="clear" w:color="auto" w:fill="FFFFFF"/>
          <w:lang w:val="en-US" w:eastAsia="zh-CN"/>
        </w:rPr>
        <w:t>360元/兆瓦·时（含税）。</w:t>
      </w:r>
    </w:p>
    <w:p w14:paraId="47EFA322">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7、采购需求：六安市金安区妇幼保健院代理购电服务项目</w:t>
      </w:r>
      <w:r>
        <w:rPr>
          <w:rFonts w:hint="eastAsia" w:ascii="仿宋" w:hAnsi="仿宋" w:eastAsia="仿宋" w:cs="仿宋"/>
          <w:kern w:val="0"/>
          <w:sz w:val="28"/>
          <w:szCs w:val="28"/>
          <w:highlight w:val="none"/>
          <w:shd w:val="clear" w:color="auto" w:fill="FFFFFF"/>
          <w:lang w:val="en-US" w:eastAsia="zh-CN"/>
        </w:rPr>
        <w:t>,向社会售电企业公开采购,具体详见采购需求。</w:t>
      </w:r>
    </w:p>
    <w:p w14:paraId="2098D5EC">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8、合同履行期限：自合同签订之日起一年。（本项目一招三年，合同一年一签，考核合格后续签下一年度合同。）</w:t>
      </w:r>
    </w:p>
    <w:p w14:paraId="701AEAD0">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9、是否接受联合体：本项目不接受联合体。</w:t>
      </w:r>
      <w:bookmarkStart w:id="2" w:name="_Toc8072"/>
      <w:bookmarkEnd w:id="2"/>
      <w:bookmarkStart w:id="3" w:name="_Toc35393630"/>
      <w:bookmarkStart w:id="4" w:name="_Toc28359090"/>
      <w:bookmarkStart w:id="5" w:name="_Toc35393799"/>
      <w:bookmarkStart w:id="6" w:name="_Toc28359013"/>
    </w:p>
    <w:p w14:paraId="2654960C">
      <w:pPr>
        <w:pStyle w:val="5"/>
        <w:keepNext w:val="0"/>
        <w:keepLines w:val="0"/>
        <w:widowControl/>
        <w:spacing w:before="0" w:after="0" w:line="520" w:lineRule="atLeast"/>
        <w:rPr>
          <w:rFonts w:ascii="黑体" w:hAnsi="宋体" w:cs="黑体"/>
          <w:b w:val="0"/>
          <w:sz w:val="28"/>
          <w:szCs w:val="28"/>
          <w:shd w:val="clear" w:color="auto" w:fill="FFFFFF"/>
        </w:rPr>
      </w:pPr>
      <w:r>
        <w:rPr>
          <w:rFonts w:hint="eastAsia" w:ascii="黑体" w:hAnsi="宋体" w:cs="黑体"/>
          <w:b w:val="0"/>
          <w:sz w:val="28"/>
          <w:szCs w:val="28"/>
          <w:shd w:val="clear" w:color="auto" w:fill="FFFFFF"/>
        </w:rPr>
        <w:t>二、申请人的资格要求</w:t>
      </w:r>
      <w:bookmarkEnd w:id="3"/>
      <w:bookmarkEnd w:id="4"/>
      <w:bookmarkEnd w:id="5"/>
      <w:bookmarkEnd w:id="6"/>
    </w:p>
    <w:p w14:paraId="28D3075D">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1、满足《中华人民共和国政府采购法》第二十二条规定；</w:t>
      </w:r>
    </w:p>
    <w:p w14:paraId="6E848B9C">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2、落实政府采购政策需满足的资格要求：</w:t>
      </w:r>
      <w:r>
        <w:rPr>
          <w:rFonts w:hint="eastAsia" w:ascii="仿宋" w:hAnsi="仿宋" w:eastAsia="仿宋" w:cs="仿宋"/>
          <w:kern w:val="0"/>
          <w:sz w:val="28"/>
          <w:szCs w:val="28"/>
          <w:highlight w:val="none"/>
          <w:shd w:val="clear" w:color="auto" w:fill="FFFFFF"/>
          <w:lang w:val="en-US" w:eastAsia="zh-CN"/>
        </w:rPr>
        <w:t>无</w:t>
      </w:r>
    </w:p>
    <w:p w14:paraId="63850FBD">
      <w:pPr>
        <w:widowControl/>
        <w:spacing w:line="520" w:lineRule="atLeast"/>
        <w:ind w:firstLine="560"/>
        <w:jc w:val="left"/>
        <w:rPr>
          <w:rFonts w:hint="eastAsia" w:ascii="仿宋" w:hAnsi="仿宋" w:eastAsia="仿宋" w:cs="仿宋"/>
          <w:kern w:val="0"/>
          <w:sz w:val="28"/>
          <w:szCs w:val="28"/>
          <w:highlight w:val="none"/>
          <w:shd w:val="clear" w:color="auto" w:fill="FFFFFF"/>
          <w:lang w:eastAsia="zh-CN"/>
        </w:rPr>
      </w:pPr>
      <w:r>
        <w:rPr>
          <w:rFonts w:hint="eastAsia" w:ascii="仿宋" w:hAnsi="仿宋" w:eastAsia="仿宋" w:cs="仿宋"/>
          <w:kern w:val="0"/>
          <w:sz w:val="28"/>
          <w:szCs w:val="28"/>
          <w:highlight w:val="none"/>
          <w:shd w:val="clear" w:color="auto" w:fill="FFFFFF"/>
        </w:rPr>
        <w:t>3、本项目的特定资格要求</w:t>
      </w:r>
      <w:r>
        <w:rPr>
          <w:rFonts w:hint="eastAsia" w:ascii="仿宋" w:hAnsi="仿宋" w:eastAsia="仿宋" w:cs="仿宋"/>
          <w:kern w:val="0"/>
          <w:sz w:val="28"/>
          <w:szCs w:val="28"/>
          <w:highlight w:val="none"/>
          <w:shd w:val="clear" w:color="auto" w:fill="FFFFFF"/>
          <w:lang w:eastAsia="zh-CN"/>
        </w:rPr>
        <w:t>：</w:t>
      </w:r>
    </w:p>
    <w:p w14:paraId="06823447">
      <w:pPr>
        <w:widowControl/>
        <w:spacing w:line="520" w:lineRule="atLeast"/>
        <w:ind w:firstLine="560"/>
        <w:jc w:val="left"/>
        <w:rPr>
          <w:rFonts w:hint="eastAsia" w:ascii="仿宋" w:hAnsi="仿宋" w:eastAsia="仿宋" w:cs="仿宋"/>
          <w:kern w:val="0"/>
          <w:sz w:val="28"/>
          <w:szCs w:val="28"/>
          <w:highlight w:val="none"/>
          <w:shd w:val="clear" w:color="auto" w:fill="FFFFFF"/>
          <w:lang w:eastAsia="zh-CN"/>
        </w:rPr>
      </w:pPr>
      <w:r>
        <w:rPr>
          <w:rFonts w:hint="eastAsia" w:ascii="仿宋" w:hAnsi="仿宋" w:eastAsia="仿宋" w:cs="仿宋"/>
          <w:kern w:val="0"/>
          <w:sz w:val="28"/>
          <w:szCs w:val="28"/>
          <w:highlight w:val="none"/>
          <w:shd w:val="clear" w:color="auto" w:fill="FFFFFF"/>
          <w:lang w:eastAsia="zh-CN"/>
        </w:rPr>
        <w:t>（</w:t>
      </w:r>
      <w:r>
        <w:rPr>
          <w:rFonts w:hint="eastAsia" w:ascii="仿宋" w:hAnsi="仿宋" w:eastAsia="仿宋" w:cs="仿宋"/>
          <w:kern w:val="0"/>
          <w:sz w:val="28"/>
          <w:szCs w:val="28"/>
          <w:highlight w:val="none"/>
          <w:shd w:val="clear" w:color="auto" w:fill="FFFFFF"/>
          <w:lang w:val="en-US" w:eastAsia="zh-CN"/>
        </w:rPr>
        <w:t>1</w:t>
      </w:r>
      <w:r>
        <w:rPr>
          <w:rFonts w:hint="eastAsia" w:ascii="仿宋" w:hAnsi="仿宋" w:eastAsia="仿宋" w:cs="仿宋"/>
          <w:kern w:val="0"/>
          <w:sz w:val="28"/>
          <w:szCs w:val="28"/>
          <w:highlight w:val="none"/>
          <w:shd w:val="clear" w:color="auto" w:fill="FFFFFF"/>
          <w:lang w:eastAsia="zh-CN"/>
        </w:rPr>
        <w:t>）报价单位具有独立法人资格，持有工商行政管理部门颁发的有效的法人营业执照。具有良好的银行资信和商业信誉，按国家法律经营，未处于被责令停业、投标资格被取消、财产冻结，破产清算状态。企业资信良好，无被执行情况；</w:t>
      </w:r>
    </w:p>
    <w:p w14:paraId="3CDE8C4F">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eastAsia="zh-CN"/>
        </w:rPr>
        <w:t>（</w:t>
      </w:r>
      <w:r>
        <w:rPr>
          <w:rFonts w:hint="eastAsia" w:ascii="仿宋" w:hAnsi="仿宋" w:eastAsia="仿宋" w:cs="仿宋"/>
          <w:kern w:val="0"/>
          <w:sz w:val="28"/>
          <w:szCs w:val="28"/>
          <w:highlight w:val="none"/>
          <w:shd w:val="clear" w:color="auto" w:fill="FFFFFF"/>
          <w:lang w:val="en-US" w:eastAsia="zh-CN"/>
        </w:rPr>
        <w:t>2</w:t>
      </w:r>
      <w:r>
        <w:rPr>
          <w:rFonts w:hint="eastAsia" w:ascii="仿宋" w:hAnsi="仿宋" w:eastAsia="仿宋" w:cs="仿宋"/>
          <w:kern w:val="0"/>
          <w:sz w:val="28"/>
          <w:szCs w:val="28"/>
          <w:highlight w:val="none"/>
          <w:shd w:val="clear" w:color="auto" w:fill="FFFFFF"/>
          <w:lang w:eastAsia="zh-CN"/>
        </w:rPr>
        <w:t>）</w:t>
      </w:r>
      <w:r>
        <w:rPr>
          <w:rFonts w:hint="eastAsia" w:ascii="仿宋" w:hAnsi="仿宋" w:eastAsia="仿宋" w:cs="仿宋"/>
          <w:kern w:val="0"/>
          <w:sz w:val="28"/>
          <w:szCs w:val="28"/>
          <w:highlight w:val="none"/>
          <w:shd w:val="clear" w:color="auto" w:fill="FFFFFF"/>
          <w:lang w:val="en-US" w:eastAsia="zh-CN"/>
        </w:rPr>
        <w:t>报价单位已通过安徽省电力交易中心审核、公示，为安徽省内有效的电力交易主体。</w:t>
      </w:r>
    </w:p>
    <w:p w14:paraId="768FE33D">
      <w:pPr>
        <w:pStyle w:val="5"/>
        <w:keepNext w:val="0"/>
        <w:keepLines w:val="0"/>
        <w:widowControl/>
        <w:spacing w:before="0" w:after="0" w:line="52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rPr>
        <w:t>三、获取采购文件</w:t>
      </w:r>
    </w:p>
    <w:p w14:paraId="5FF9DDF3">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1、时间：自公告发布之日起至开标时间前</w:t>
      </w:r>
    </w:p>
    <w:p w14:paraId="538FE842">
      <w:pPr>
        <w:widowControl/>
        <w:spacing w:line="520" w:lineRule="atLeast"/>
        <w:ind w:firstLine="560"/>
        <w:jc w:val="left"/>
        <w:rPr>
          <w:rFonts w:hint="default" w:ascii="仿宋" w:hAnsi="仿宋" w:eastAsia="仿宋" w:cs="仿宋"/>
          <w:kern w:val="0"/>
          <w:sz w:val="28"/>
          <w:szCs w:val="28"/>
          <w:highlight w:val="none"/>
          <w:shd w:val="clear" w:color="auto" w:fill="FFFFFF"/>
          <w:lang w:val="en-US"/>
        </w:rPr>
      </w:pPr>
      <w:r>
        <w:rPr>
          <w:rFonts w:hint="eastAsia" w:ascii="仿宋" w:hAnsi="仿宋" w:eastAsia="仿宋" w:cs="仿宋"/>
          <w:kern w:val="0"/>
          <w:sz w:val="28"/>
          <w:szCs w:val="28"/>
          <w:highlight w:val="none"/>
          <w:shd w:val="clear" w:color="auto" w:fill="FFFFFF"/>
          <w:lang w:val="en-US" w:eastAsia="zh-CN"/>
        </w:rPr>
        <w:t>2、地点：六安市金安区妇幼保健院官网下载</w:t>
      </w:r>
    </w:p>
    <w:p w14:paraId="3730E4AD">
      <w:pPr>
        <w:widowControl/>
        <w:spacing w:line="520" w:lineRule="atLeast"/>
        <w:ind w:firstLine="560"/>
        <w:jc w:val="left"/>
        <w:rPr>
          <w:rFonts w:hint="default" w:ascii="仿宋" w:hAnsi="仿宋" w:eastAsia="仿宋" w:cs="仿宋"/>
          <w:kern w:val="0"/>
          <w:sz w:val="28"/>
          <w:szCs w:val="28"/>
          <w:highlight w:val="none"/>
          <w:shd w:val="clear" w:color="auto" w:fill="FFFFFF"/>
          <w:lang w:val="en-US"/>
        </w:rPr>
      </w:pPr>
      <w:r>
        <w:rPr>
          <w:rFonts w:hint="eastAsia" w:ascii="仿宋" w:hAnsi="仿宋" w:eastAsia="仿宋" w:cs="仿宋"/>
          <w:kern w:val="0"/>
          <w:sz w:val="28"/>
          <w:szCs w:val="28"/>
          <w:highlight w:val="none"/>
          <w:shd w:val="clear" w:color="auto" w:fill="FFFFFF"/>
          <w:lang w:val="en-US" w:eastAsia="zh-CN"/>
        </w:rPr>
        <w:t>3、获取方式：自行下载</w:t>
      </w:r>
    </w:p>
    <w:p w14:paraId="1688CBEE">
      <w:pPr>
        <w:pStyle w:val="5"/>
        <w:keepNext w:val="0"/>
        <w:keepLines w:val="0"/>
        <w:widowControl/>
        <w:spacing w:before="0" w:after="0" w:line="52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rPr>
        <w:t>四、响应文件提交</w:t>
      </w:r>
    </w:p>
    <w:p w14:paraId="0172D686">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1、截止时间：</w:t>
      </w:r>
      <w:r>
        <w:rPr>
          <w:rFonts w:hint="eastAsia" w:ascii="仿宋" w:hAnsi="仿宋" w:eastAsia="仿宋" w:cs="仿宋"/>
          <w:kern w:val="0"/>
          <w:sz w:val="28"/>
          <w:szCs w:val="28"/>
          <w:highlight w:val="none"/>
          <w:shd w:val="clear" w:color="auto" w:fill="FFFFFF"/>
          <w:lang w:val="en-US" w:eastAsia="zh-CN"/>
        </w:rPr>
        <w:t>2025</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12</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10</w:t>
      </w:r>
      <w:r>
        <w:rPr>
          <w:rFonts w:hint="eastAsia" w:ascii="仿宋" w:hAnsi="仿宋" w:eastAsia="仿宋" w:cs="仿宋"/>
          <w:kern w:val="0"/>
          <w:sz w:val="28"/>
          <w:szCs w:val="28"/>
          <w:highlight w:val="none"/>
          <w:shd w:val="clear" w:color="auto" w:fill="FFFFFF"/>
        </w:rPr>
        <w:t>日</w:t>
      </w:r>
      <w:r>
        <w:rPr>
          <w:rFonts w:hint="eastAsia" w:ascii="仿宋" w:hAnsi="仿宋" w:eastAsia="仿宋" w:cs="仿宋"/>
          <w:kern w:val="0"/>
          <w:sz w:val="28"/>
          <w:szCs w:val="28"/>
          <w:highlight w:val="none"/>
          <w:shd w:val="clear" w:color="auto" w:fill="FFFFFF"/>
          <w:lang w:val="en-US" w:eastAsia="zh-CN"/>
        </w:rPr>
        <w:t>15 时00</w:t>
      </w:r>
      <w:r>
        <w:rPr>
          <w:rFonts w:hint="eastAsia" w:ascii="仿宋" w:hAnsi="仿宋" w:eastAsia="仿宋" w:cs="仿宋"/>
          <w:kern w:val="0"/>
          <w:sz w:val="28"/>
          <w:szCs w:val="28"/>
          <w:highlight w:val="none"/>
          <w:shd w:val="clear" w:color="auto" w:fill="FFFFFF"/>
        </w:rPr>
        <w:t>分（北京时间）</w:t>
      </w:r>
    </w:p>
    <w:p w14:paraId="57D1DCF9">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rPr>
        <w:t>2、地点：</w:t>
      </w:r>
      <w:bookmarkStart w:id="7" w:name="_Toc28359016"/>
      <w:bookmarkEnd w:id="7"/>
      <w:bookmarkStart w:id="8" w:name="_Toc35393633"/>
      <w:bookmarkEnd w:id="8"/>
      <w:bookmarkStart w:id="9" w:name="_Toc28359093"/>
      <w:bookmarkEnd w:id="9"/>
      <w:bookmarkStart w:id="10" w:name="_Toc25100"/>
      <w:bookmarkEnd w:id="10"/>
      <w:bookmarkStart w:id="11" w:name="_Toc35393802"/>
      <w:r>
        <w:rPr>
          <w:rFonts w:hint="eastAsia" w:ascii="仿宋" w:hAnsi="仿宋" w:eastAsia="仿宋" w:cs="仿宋"/>
          <w:kern w:val="0"/>
          <w:sz w:val="28"/>
          <w:szCs w:val="28"/>
          <w:highlight w:val="none"/>
          <w:shd w:val="clear" w:color="auto" w:fill="FFFFFF"/>
          <w:lang w:val="en-US" w:eastAsia="zh-CN"/>
        </w:rPr>
        <w:t>1号楼13楼医务科会议室</w:t>
      </w:r>
    </w:p>
    <w:p w14:paraId="1EDCA2D3">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rPr>
        <w:t>3、响应文件提交方式：响应文件应在提交截止时间前现场递交纸质响应文件，否则不予接收。</w:t>
      </w:r>
    </w:p>
    <w:bookmarkEnd w:id="11"/>
    <w:p w14:paraId="155E39A8">
      <w:pPr>
        <w:pStyle w:val="5"/>
        <w:keepNext w:val="0"/>
        <w:keepLines w:val="0"/>
        <w:widowControl/>
        <w:spacing w:before="0" w:after="0" w:line="500" w:lineRule="exact"/>
        <w:rPr>
          <w:rFonts w:hint="default" w:ascii="黑体" w:hAnsi="宋体" w:cs="黑体"/>
          <w:b/>
          <w:bCs/>
          <w:sz w:val="28"/>
          <w:szCs w:val="28"/>
          <w:shd w:val="clear" w:color="auto" w:fill="FFFFFF"/>
          <w:lang w:val="en-US" w:eastAsia="zh-CN"/>
        </w:rPr>
      </w:pPr>
      <w:bookmarkStart w:id="12" w:name="_Toc35393803"/>
      <w:r>
        <w:rPr>
          <w:rFonts w:hint="eastAsia" w:ascii="黑体" w:hAnsi="宋体" w:cs="黑体"/>
          <w:b w:val="0"/>
          <w:sz w:val="28"/>
          <w:szCs w:val="28"/>
          <w:shd w:val="clear" w:color="auto" w:fill="FFFFFF"/>
          <w:lang w:val="en-US" w:eastAsia="zh-CN"/>
        </w:rPr>
        <w:t xml:space="preserve">    </w:t>
      </w:r>
      <w:r>
        <w:rPr>
          <w:rFonts w:hint="eastAsia" w:ascii="仿宋" w:hAnsi="仿宋" w:eastAsia="仿宋" w:cs="仿宋"/>
          <w:b w:val="0"/>
          <w:kern w:val="0"/>
          <w:sz w:val="28"/>
          <w:szCs w:val="28"/>
          <w:highlight w:val="none"/>
          <w:shd w:val="clear" w:color="auto" w:fill="FFFFFF"/>
          <w:lang w:val="en-US" w:eastAsia="zh-CN" w:bidi="ar-SA"/>
        </w:rPr>
        <w:t>4、电子版投标文件请于2025年12月10日10:00前发送至邮箱1747999843@qq.com。</w:t>
      </w:r>
    </w:p>
    <w:p w14:paraId="49DF75B9">
      <w:pPr>
        <w:pStyle w:val="5"/>
        <w:keepNext w:val="0"/>
        <w:keepLines w:val="0"/>
        <w:widowControl/>
        <w:spacing w:before="0" w:after="0" w:line="500" w:lineRule="exact"/>
        <w:rPr>
          <w:rFonts w:hint="eastAsia" w:ascii="黑体" w:hAnsi="宋体" w:cs="黑体"/>
          <w:b w:val="0"/>
          <w:sz w:val="28"/>
          <w:szCs w:val="28"/>
          <w:shd w:val="clear" w:color="auto" w:fill="FFFFFF"/>
          <w:lang w:val="en-US" w:eastAsia="zh-CN"/>
        </w:rPr>
      </w:pPr>
      <w:r>
        <w:rPr>
          <w:rFonts w:hint="eastAsia" w:ascii="黑体" w:hAnsi="宋体" w:cs="黑体"/>
          <w:b w:val="0"/>
          <w:sz w:val="28"/>
          <w:szCs w:val="28"/>
          <w:shd w:val="clear" w:color="auto" w:fill="FFFFFF"/>
          <w:lang w:val="en-US" w:eastAsia="zh-CN"/>
        </w:rPr>
        <w:t>五、响应文件开启</w:t>
      </w:r>
    </w:p>
    <w:p w14:paraId="39343F14">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1、时间：</w:t>
      </w:r>
      <w:r>
        <w:rPr>
          <w:rFonts w:hint="eastAsia" w:ascii="仿宋" w:hAnsi="仿宋" w:eastAsia="仿宋" w:cs="仿宋"/>
          <w:kern w:val="0"/>
          <w:sz w:val="28"/>
          <w:szCs w:val="28"/>
          <w:highlight w:val="none"/>
          <w:shd w:val="clear" w:color="auto" w:fill="FFFFFF"/>
        </w:rPr>
        <w:t>：</w:t>
      </w:r>
      <w:r>
        <w:rPr>
          <w:rFonts w:hint="eastAsia" w:ascii="仿宋" w:hAnsi="仿宋" w:eastAsia="仿宋" w:cs="仿宋"/>
          <w:kern w:val="0"/>
          <w:sz w:val="28"/>
          <w:szCs w:val="28"/>
          <w:highlight w:val="none"/>
          <w:shd w:val="clear" w:color="auto" w:fill="FFFFFF"/>
          <w:lang w:val="en-US" w:eastAsia="zh-CN"/>
        </w:rPr>
        <w:t>2025</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 xml:space="preserve">12 </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 xml:space="preserve">10 </w:t>
      </w:r>
      <w:r>
        <w:rPr>
          <w:rFonts w:hint="eastAsia" w:ascii="仿宋" w:hAnsi="仿宋" w:eastAsia="仿宋" w:cs="仿宋"/>
          <w:kern w:val="0"/>
          <w:sz w:val="28"/>
          <w:szCs w:val="28"/>
          <w:highlight w:val="none"/>
          <w:shd w:val="clear" w:color="auto" w:fill="FFFFFF"/>
        </w:rPr>
        <w:t>日</w:t>
      </w:r>
      <w:r>
        <w:rPr>
          <w:rFonts w:hint="eastAsia" w:ascii="仿宋" w:hAnsi="仿宋" w:eastAsia="仿宋" w:cs="仿宋"/>
          <w:kern w:val="0"/>
          <w:sz w:val="28"/>
          <w:szCs w:val="28"/>
          <w:highlight w:val="none"/>
          <w:shd w:val="clear" w:color="auto" w:fill="FFFFFF"/>
          <w:lang w:val="en-US" w:eastAsia="zh-CN"/>
        </w:rPr>
        <w:t>15 时00</w:t>
      </w:r>
      <w:r>
        <w:rPr>
          <w:rFonts w:hint="eastAsia" w:ascii="仿宋" w:hAnsi="仿宋" w:eastAsia="仿宋" w:cs="仿宋"/>
          <w:kern w:val="0"/>
          <w:sz w:val="28"/>
          <w:szCs w:val="28"/>
          <w:highlight w:val="none"/>
          <w:shd w:val="clear" w:color="auto" w:fill="FFFFFF"/>
        </w:rPr>
        <w:t>分</w:t>
      </w:r>
      <w:r>
        <w:rPr>
          <w:rFonts w:hint="eastAsia" w:ascii="仿宋" w:hAnsi="仿宋" w:eastAsia="仿宋" w:cs="仿宋"/>
          <w:kern w:val="0"/>
          <w:sz w:val="28"/>
          <w:szCs w:val="28"/>
          <w:highlight w:val="none"/>
          <w:shd w:val="clear" w:color="auto" w:fill="FFFFFF"/>
          <w:lang w:val="en-US" w:eastAsia="zh-CN"/>
        </w:rPr>
        <w:t>（北京时间）</w:t>
      </w:r>
    </w:p>
    <w:p w14:paraId="3BA7C43A">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2、地点：1号楼13楼医务科会议室</w:t>
      </w:r>
    </w:p>
    <w:p w14:paraId="38791737">
      <w:pPr>
        <w:pStyle w:val="5"/>
        <w:keepNext w:val="0"/>
        <w:keepLines w:val="0"/>
        <w:widowControl/>
        <w:spacing w:before="0" w:after="0" w:line="500" w:lineRule="exact"/>
        <w:rPr>
          <w:rFonts w:hint="eastAsia" w:ascii="黑体" w:hAnsi="宋体" w:cs="黑体"/>
          <w:b w:val="0"/>
          <w:sz w:val="28"/>
          <w:szCs w:val="28"/>
          <w:shd w:val="clear" w:color="auto" w:fill="FFFFFF"/>
          <w:lang w:val="en-US" w:eastAsia="zh-CN"/>
        </w:rPr>
      </w:pPr>
      <w:r>
        <w:rPr>
          <w:rFonts w:hint="eastAsia" w:ascii="黑体" w:hAnsi="宋体" w:cs="黑体"/>
          <w:b w:val="0"/>
          <w:sz w:val="28"/>
          <w:szCs w:val="28"/>
          <w:shd w:val="clear" w:color="auto" w:fill="FFFFFF"/>
          <w:lang w:val="en-US" w:eastAsia="zh-CN"/>
        </w:rPr>
        <w:t>六、公告期限</w:t>
      </w:r>
    </w:p>
    <w:p w14:paraId="242BBCDF">
      <w:pPr>
        <w:widowControl/>
        <w:spacing w:line="520" w:lineRule="atLeast"/>
        <w:ind w:firstLine="560"/>
        <w:jc w:val="left"/>
        <w:rPr>
          <w:rFonts w:hint="eastAsia" w:ascii="仿宋" w:hAnsi="仿宋" w:eastAsia="仿宋" w:cs="仿宋"/>
          <w:kern w:val="0"/>
          <w:sz w:val="28"/>
          <w:szCs w:val="28"/>
          <w:highlight w:val="none"/>
          <w:shd w:val="clear" w:color="auto" w:fill="FFFFFF"/>
        </w:rPr>
      </w:pPr>
      <w:r>
        <w:rPr>
          <w:rFonts w:hint="eastAsia" w:ascii="仿宋" w:hAnsi="仿宋" w:eastAsia="仿宋" w:cs="仿宋"/>
          <w:kern w:val="0"/>
          <w:sz w:val="28"/>
          <w:szCs w:val="28"/>
          <w:highlight w:val="none"/>
          <w:shd w:val="clear" w:color="auto" w:fill="FFFFFF"/>
          <w:lang w:val="en-US" w:eastAsia="zh-CN"/>
        </w:rPr>
        <w:t>自本公告发布之日起3个工作日。</w:t>
      </w:r>
    </w:p>
    <w:bookmarkEnd w:id="12"/>
    <w:p w14:paraId="7C146BBD">
      <w:pPr>
        <w:pStyle w:val="5"/>
        <w:keepNext w:val="0"/>
        <w:keepLines w:val="0"/>
        <w:widowControl/>
        <w:spacing w:before="0" w:after="0" w:line="440" w:lineRule="atLeast"/>
        <w:rPr>
          <w:rFonts w:ascii="微软雅黑" w:hAnsi="微软雅黑" w:eastAsia="微软雅黑" w:cs="微软雅黑"/>
          <w:b w:val="0"/>
          <w:sz w:val="21"/>
          <w:szCs w:val="21"/>
        </w:rPr>
      </w:pPr>
      <w:r>
        <w:rPr>
          <w:rFonts w:hint="eastAsia" w:ascii="黑体" w:hAnsi="宋体" w:cs="黑体"/>
          <w:b w:val="0"/>
          <w:sz w:val="28"/>
          <w:szCs w:val="28"/>
          <w:shd w:val="clear" w:color="auto" w:fill="FFFFFF"/>
          <w:lang w:val="en-US" w:eastAsia="zh-CN"/>
        </w:rPr>
        <w:t>七</w:t>
      </w:r>
      <w:r>
        <w:rPr>
          <w:rFonts w:hint="eastAsia" w:ascii="黑体" w:hAnsi="宋体" w:cs="黑体"/>
          <w:b w:val="0"/>
          <w:sz w:val="28"/>
          <w:szCs w:val="28"/>
          <w:shd w:val="clear" w:color="auto" w:fill="FFFFFF"/>
        </w:rPr>
        <w:t>、凡对本次招标提出询问，请按以下方式联系。</w:t>
      </w:r>
    </w:p>
    <w:p w14:paraId="6B283D92">
      <w:pPr>
        <w:widowControl/>
        <w:spacing w:line="520" w:lineRule="atLeast"/>
        <w:ind w:firstLine="560"/>
        <w:jc w:val="left"/>
        <w:rPr>
          <w:rFonts w:hint="eastAsia"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采购人信息</w:t>
      </w:r>
    </w:p>
    <w:p w14:paraId="089939F2">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名    称：六安市金安区妇幼保健院</w:t>
      </w:r>
    </w:p>
    <w:p w14:paraId="30692AA1">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地    址：长安北路1123号</w:t>
      </w:r>
    </w:p>
    <w:p w14:paraId="3CB0DE9F">
      <w:pPr>
        <w:widowControl/>
        <w:spacing w:line="520" w:lineRule="atLeast"/>
        <w:ind w:firstLine="560"/>
        <w:jc w:val="left"/>
        <w:rPr>
          <w:rFonts w:hint="default" w:ascii="仿宋" w:hAnsi="仿宋" w:eastAsia="仿宋" w:cs="仿宋"/>
          <w:kern w:val="0"/>
          <w:sz w:val="28"/>
          <w:szCs w:val="28"/>
          <w:highlight w:val="none"/>
          <w:shd w:val="clear" w:color="auto" w:fill="FFFFFF"/>
          <w:lang w:val="en-US" w:eastAsia="zh-CN"/>
        </w:rPr>
      </w:pPr>
      <w:r>
        <w:rPr>
          <w:rFonts w:hint="eastAsia" w:ascii="仿宋" w:hAnsi="仿宋" w:eastAsia="仿宋" w:cs="仿宋"/>
          <w:kern w:val="0"/>
          <w:sz w:val="28"/>
          <w:szCs w:val="28"/>
          <w:highlight w:val="none"/>
          <w:shd w:val="clear" w:color="auto" w:fill="FFFFFF"/>
          <w:lang w:val="en-US" w:eastAsia="zh-CN"/>
        </w:rPr>
        <w:t>联系方式：0564-3597152</w:t>
      </w:r>
    </w:p>
    <w:p w14:paraId="3C1FF531">
      <w:pPr>
        <w:pStyle w:val="2"/>
        <w:ind w:left="0" w:leftChars="0" w:firstLine="0" w:firstLineChars="0"/>
        <w:jc w:val="both"/>
        <w:rPr>
          <w:rFonts w:hint="eastAsia" w:ascii="仿宋" w:hAnsi="仿宋" w:eastAsia="仿宋" w:cs="仿宋"/>
          <w:kern w:val="0"/>
          <w:sz w:val="28"/>
          <w:szCs w:val="28"/>
          <w:highlight w:val="none"/>
          <w:shd w:val="clear" w:color="auto" w:fill="FFFFFF"/>
          <w:lang w:val="en-US" w:eastAsia="zh-CN"/>
        </w:rPr>
      </w:pPr>
    </w:p>
    <w:p w14:paraId="6120D051">
      <w:pPr>
        <w:pStyle w:val="2"/>
        <w:jc w:val="right"/>
        <w:rPr>
          <w:rFonts w:hint="eastAsia" w:ascii="仿宋" w:hAnsi="仿宋" w:eastAsia="仿宋" w:cs="仿宋"/>
          <w:kern w:val="0"/>
          <w:sz w:val="28"/>
          <w:szCs w:val="28"/>
          <w:highlight w:val="none"/>
          <w:shd w:val="clear" w:color="auto" w:fill="FFFFFF"/>
          <w:lang w:val="en-US" w:eastAsia="zh-CN"/>
        </w:rPr>
      </w:pPr>
    </w:p>
    <w:p w14:paraId="6AC57962">
      <w:pPr>
        <w:pStyle w:val="2"/>
        <w:ind w:left="0" w:leftChars="0" w:firstLine="0" w:firstLineChars="0"/>
        <w:jc w:val="right"/>
        <w:rPr>
          <w:rFonts w:hint="default" w:ascii="宋体" w:hAnsi="宋体" w:eastAsia="仿宋" w:cs="宋体"/>
          <w:sz w:val="28"/>
          <w:szCs w:val="28"/>
          <w:lang w:val="en-US" w:eastAsia="zh-CN"/>
        </w:rPr>
      </w:pPr>
      <w:bookmarkStart w:id="106" w:name="_GoBack"/>
      <w:bookmarkEnd w:id="106"/>
      <w:r>
        <w:rPr>
          <w:rFonts w:hint="eastAsia" w:ascii="仿宋" w:hAnsi="仿宋" w:eastAsia="仿宋" w:cs="仿宋"/>
          <w:kern w:val="0"/>
          <w:sz w:val="28"/>
          <w:szCs w:val="28"/>
          <w:highlight w:val="none"/>
          <w:shd w:val="clear" w:color="auto" w:fill="FFFFFF"/>
          <w:lang w:val="en-US" w:eastAsia="zh-CN"/>
        </w:rPr>
        <w:t>2025</w:t>
      </w:r>
      <w:r>
        <w:rPr>
          <w:rFonts w:hint="eastAsia" w:ascii="仿宋" w:hAnsi="仿宋" w:eastAsia="仿宋" w:cs="仿宋"/>
          <w:kern w:val="0"/>
          <w:sz w:val="28"/>
          <w:szCs w:val="28"/>
          <w:highlight w:val="none"/>
          <w:shd w:val="clear" w:color="auto" w:fill="FFFFFF"/>
        </w:rPr>
        <w:t>年</w:t>
      </w:r>
      <w:r>
        <w:rPr>
          <w:rFonts w:hint="eastAsia" w:ascii="仿宋" w:hAnsi="仿宋" w:eastAsia="仿宋" w:cs="仿宋"/>
          <w:kern w:val="0"/>
          <w:sz w:val="28"/>
          <w:szCs w:val="28"/>
          <w:highlight w:val="none"/>
          <w:shd w:val="clear" w:color="auto" w:fill="FFFFFF"/>
          <w:lang w:val="en-US" w:eastAsia="zh-CN"/>
        </w:rPr>
        <w:t>12</w:t>
      </w:r>
      <w:r>
        <w:rPr>
          <w:rFonts w:hint="eastAsia" w:ascii="仿宋" w:hAnsi="仿宋" w:eastAsia="仿宋" w:cs="仿宋"/>
          <w:kern w:val="0"/>
          <w:sz w:val="28"/>
          <w:szCs w:val="28"/>
          <w:highlight w:val="none"/>
          <w:shd w:val="clear" w:color="auto" w:fill="FFFFFF"/>
        </w:rPr>
        <w:t>月</w:t>
      </w:r>
      <w:r>
        <w:rPr>
          <w:rFonts w:hint="eastAsia" w:ascii="仿宋" w:hAnsi="仿宋" w:eastAsia="仿宋" w:cs="仿宋"/>
          <w:kern w:val="0"/>
          <w:sz w:val="28"/>
          <w:szCs w:val="28"/>
          <w:highlight w:val="none"/>
          <w:shd w:val="clear" w:color="auto" w:fill="FFFFFF"/>
          <w:lang w:val="en-US" w:eastAsia="zh-CN"/>
        </w:rPr>
        <w:t>8日</w:t>
      </w:r>
    </w:p>
    <w:p w14:paraId="69E795AB">
      <w:pPr>
        <w:rPr>
          <w:rFonts w:hint="eastAsia" w:ascii="仿宋" w:hAnsi="仿宋" w:eastAsia="仿宋" w:cs="仿宋"/>
          <w:color w:val="auto"/>
          <w:sz w:val="28"/>
          <w:szCs w:val="28"/>
          <w:highlight w:val="none"/>
        </w:rPr>
      </w:pPr>
      <w:r>
        <w:rPr>
          <w:rFonts w:hint="eastAsia" w:ascii="宋体" w:hAnsi="宋体" w:eastAsia="宋体" w:cs="宋体"/>
          <w:sz w:val="28"/>
          <w:szCs w:val="28"/>
        </w:rPr>
        <w:br w:type="page"/>
      </w:r>
    </w:p>
    <w:p w14:paraId="0691BB15">
      <w:pPr>
        <w:pStyle w:val="5"/>
        <w:spacing w:before="120" w:beforeLines="50" w:after="120" w:afterLines="50" w:line="560" w:lineRule="exact"/>
        <w:jc w:val="center"/>
        <w:rPr>
          <w:rFonts w:ascii="宋体" w:hAnsi="宋体" w:eastAsia="宋体" w:cs="宋体"/>
          <w:color w:val="auto"/>
          <w:sz w:val="28"/>
          <w:szCs w:val="28"/>
          <w:highlight w:val="none"/>
        </w:rPr>
      </w:pPr>
      <w:bookmarkStart w:id="13" w:name="_Toc15193"/>
      <w:r>
        <w:rPr>
          <w:rFonts w:hint="eastAsia" w:ascii="宋体" w:hAnsi="宋体" w:eastAsia="宋体" w:cs="宋体"/>
          <w:color w:val="auto"/>
          <w:sz w:val="28"/>
          <w:szCs w:val="28"/>
          <w:highlight w:val="none"/>
        </w:rPr>
        <w:t>一、供应商须知</w:t>
      </w:r>
      <w:bookmarkEnd w:id="0"/>
      <w:bookmarkEnd w:id="1"/>
      <w:bookmarkEnd w:id="13"/>
    </w:p>
    <w:p w14:paraId="0DB2C64F">
      <w:pPr>
        <w:pStyle w:val="5"/>
        <w:spacing w:before="0" w:after="0" w:line="560" w:lineRule="exact"/>
        <w:jc w:val="center"/>
        <w:rPr>
          <w:rFonts w:ascii="宋体" w:hAnsi="宋体" w:eastAsia="宋体" w:cs="宋体"/>
          <w:color w:val="auto"/>
          <w:sz w:val="24"/>
          <w:szCs w:val="24"/>
          <w:highlight w:val="none"/>
        </w:rPr>
      </w:pPr>
      <w:bookmarkStart w:id="14" w:name="_Toc30170"/>
      <w:r>
        <w:rPr>
          <w:rFonts w:hint="eastAsia" w:ascii="宋体" w:hAnsi="宋体" w:eastAsia="宋体" w:cs="宋体"/>
          <w:color w:val="auto"/>
          <w:sz w:val="24"/>
          <w:szCs w:val="24"/>
          <w:highlight w:val="none"/>
        </w:rPr>
        <w:t>（一）须知前附表</w:t>
      </w:r>
      <w:bookmarkEnd w:id="14"/>
    </w:p>
    <w:tbl>
      <w:tblPr>
        <w:tblStyle w:val="34"/>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17"/>
        <w:gridCol w:w="1689"/>
        <w:gridCol w:w="7308"/>
      </w:tblGrid>
      <w:tr w14:paraId="5855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5E81DF16">
            <w:pPr>
              <w:spacing w:line="440" w:lineRule="exact"/>
              <w:jc w:val="center"/>
              <w:rPr>
                <w:rFonts w:ascii="宋体" w:hAnsi="宋体"/>
                <w:b/>
                <w:color w:val="auto"/>
                <w:sz w:val="24"/>
                <w:szCs w:val="24"/>
                <w:highlight w:val="none"/>
              </w:rPr>
            </w:pPr>
            <w:bookmarkStart w:id="15" w:name="_Toc438107743"/>
            <w:bookmarkStart w:id="16" w:name="_Toc363199267"/>
            <w:bookmarkStart w:id="17" w:name="_Toc216158627"/>
            <w:r>
              <w:rPr>
                <w:rFonts w:hint="eastAsia" w:ascii="宋体" w:hAnsi="宋体"/>
                <w:b/>
                <w:color w:val="auto"/>
                <w:sz w:val="24"/>
                <w:szCs w:val="24"/>
                <w:highlight w:val="none"/>
              </w:rPr>
              <w:t>序号</w:t>
            </w:r>
          </w:p>
        </w:tc>
        <w:tc>
          <w:tcPr>
            <w:tcW w:w="1689" w:type="dxa"/>
            <w:vAlign w:val="center"/>
          </w:tcPr>
          <w:p w14:paraId="25D49397">
            <w:pPr>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308" w:type="dxa"/>
            <w:vAlign w:val="center"/>
          </w:tcPr>
          <w:p w14:paraId="09E27DCA">
            <w:pPr>
              <w:pStyle w:val="96"/>
              <w:widowControl w:val="0"/>
              <w:spacing w:before="0" w:beforeAutospacing="0" w:after="0" w:afterAutospacing="0" w:line="440" w:lineRule="exact"/>
              <w:rPr>
                <w:bCs w:val="0"/>
                <w:color w:val="auto"/>
                <w:kern w:val="2"/>
                <w:sz w:val="24"/>
                <w:szCs w:val="24"/>
                <w:highlight w:val="none"/>
              </w:rPr>
            </w:pPr>
            <w:r>
              <w:rPr>
                <w:rFonts w:hint="eastAsia"/>
                <w:bCs w:val="0"/>
                <w:color w:val="auto"/>
                <w:kern w:val="2"/>
                <w:sz w:val="24"/>
                <w:szCs w:val="24"/>
                <w:highlight w:val="none"/>
              </w:rPr>
              <w:t>说明与要求</w:t>
            </w:r>
          </w:p>
        </w:tc>
      </w:tr>
      <w:tr w14:paraId="6048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617" w:type="dxa"/>
            <w:vAlign w:val="center"/>
          </w:tcPr>
          <w:p w14:paraId="305BCFB4">
            <w:pPr>
              <w:pStyle w:val="94"/>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w:t>
            </w:r>
          </w:p>
        </w:tc>
        <w:tc>
          <w:tcPr>
            <w:tcW w:w="1689" w:type="dxa"/>
            <w:vAlign w:val="center"/>
          </w:tcPr>
          <w:p w14:paraId="118DA20A">
            <w:pPr>
              <w:spacing w:line="440" w:lineRule="exact"/>
              <w:jc w:val="center"/>
              <w:rPr>
                <w:rFonts w:ascii="宋体" w:hAnsi="宋体"/>
                <w:color w:val="auto"/>
                <w:sz w:val="24"/>
                <w:szCs w:val="24"/>
                <w:highlight w:val="none"/>
              </w:rPr>
            </w:pPr>
            <w:r>
              <w:rPr>
                <w:rFonts w:hint="eastAsia" w:ascii="宋体" w:hAnsi="宋体"/>
                <w:bCs/>
                <w:color w:val="auto"/>
                <w:sz w:val="24"/>
                <w:szCs w:val="24"/>
                <w:highlight w:val="none"/>
              </w:rPr>
              <w:t>采购人</w:t>
            </w:r>
          </w:p>
        </w:tc>
        <w:tc>
          <w:tcPr>
            <w:tcW w:w="7308" w:type="dxa"/>
            <w:vAlign w:val="center"/>
          </w:tcPr>
          <w:p w14:paraId="4D3EDEA8">
            <w:pPr>
              <w:spacing w:line="440" w:lineRule="exact"/>
              <w:rPr>
                <w:rFonts w:hint="eastAsia" w:eastAsia="宋体"/>
                <w:color w:val="auto"/>
                <w:sz w:val="24"/>
                <w:szCs w:val="24"/>
                <w:highlight w:val="none"/>
                <w:lang w:eastAsia="zh-CN"/>
              </w:rPr>
            </w:pPr>
            <w:r>
              <w:rPr>
                <w:rFonts w:hint="eastAsia" w:ascii="宋体" w:hAnsi="宋体" w:eastAsia="宋体" w:cs="Times New Roman"/>
                <w:b w:val="0"/>
                <w:bCs w:val="0"/>
                <w:color w:val="auto"/>
                <w:kern w:val="0"/>
                <w:sz w:val="24"/>
                <w:szCs w:val="24"/>
                <w:highlight w:val="none"/>
                <w:lang w:val="en-US" w:eastAsia="zh-CN" w:bidi="ar-SA"/>
              </w:rPr>
              <w:t>六安市金安区妇幼保健院</w:t>
            </w:r>
          </w:p>
        </w:tc>
      </w:tr>
      <w:tr w14:paraId="3694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61727D67">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2</w:t>
            </w:r>
          </w:p>
        </w:tc>
        <w:tc>
          <w:tcPr>
            <w:tcW w:w="1689" w:type="dxa"/>
            <w:vAlign w:val="center"/>
          </w:tcPr>
          <w:p w14:paraId="30C6F259">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磋商有效期</w:t>
            </w:r>
          </w:p>
        </w:tc>
        <w:tc>
          <w:tcPr>
            <w:tcW w:w="7308" w:type="dxa"/>
            <w:vAlign w:val="center"/>
          </w:tcPr>
          <w:p w14:paraId="327FD1EE">
            <w:pPr>
              <w:pStyle w:val="96"/>
              <w:widowControl w:val="0"/>
              <w:spacing w:before="0" w:beforeAutospacing="0" w:after="0" w:afterAutospacing="0" w:line="440" w:lineRule="exact"/>
              <w:jc w:val="both"/>
              <w:rPr>
                <w:b w:val="0"/>
                <w:bCs w:val="0"/>
                <w:color w:val="auto"/>
                <w:sz w:val="24"/>
                <w:szCs w:val="24"/>
                <w:highlight w:val="none"/>
              </w:rPr>
            </w:pPr>
            <w:r>
              <w:rPr>
                <w:rFonts w:hint="eastAsia"/>
                <w:b w:val="0"/>
                <w:bCs w:val="0"/>
                <w:color w:val="auto"/>
                <w:sz w:val="24"/>
                <w:szCs w:val="24"/>
                <w:highlight w:val="none"/>
              </w:rPr>
              <w:t>响应文件提交截止日后</w:t>
            </w:r>
            <w:r>
              <w:rPr>
                <w:rFonts w:hint="eastAsia"/>
                <w:b w:val="0"/>
                <w:bCs w:val="0"/>
                <w:color w:val="auto"/>
                <w:sz w:val="24"/>
                <w:szCs w:val="24"/>
                <w:highlight w:val="none"/>
                <w:lang w:val="en-US" w:eastAsia="zh-CN"/>
              </w:rPr>
              <w:t>10</w:t>
            </w:r>
            <w:r>
              <w:rPr>
                <w:rFonts w:hint="eastAsia"/>
                <w:b w:val="0"/>
                <w:bCs w:val="0"/>
                <w:color w:val="auto"/>
                <w:sz w:val="24"/>
                <w:szCs w:val="24"/>
                <w:highlight w:val="none"/>
              </w:rPr>
              <w:t>天</w:t>
            </w:r>
          </w:p>
        </w:tc>
      </w:tr>
      <w:tr w14:paraId="0371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1B806385">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3</w:t>
            </w:r>
          </w:p>
        </w:tc>
        <w:tc>
          <w:tcPr>
            <w:tcW w:w="1689" w:type="dxa"/>
            <w:vAlign w:val="center"/>
          </w:tcPr>
          <w:p w14:paraId="04BF060C">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项目类型</w:t>
            </w:r>
          </w:p>
        </w:tc>
        <w:tc>
          <w:tcPr>
            <w:tcW w:w="7308" w:type="dxa"/>
            <w:vAlign w:val="center"/>
          </w:tcPr>
          <w:p w14:paraId="545200C3">
            <w:pPr>
              <w:pStyle w:val="96"/>
              <w:widowControl w:val="0"/>
              <w:spacing w:before="0" w:beforeAutospacing="0" w:after="0" w:afterAutospacing="0" w:line="440" w:lineRule="exact"/>
              <w:jc w:val="both"/>
              <w:rPr>
                <w:rFonts w:hint="eastAsia" w:eastAsia="宋体"/>
                <w:b w:val="0"/>
                <w:bCs w:val="0"/>
                <w:color w:val="auto"/>
                <w:sz w:val="24"/>
                <w:szCs w:val="24"/>
                <w:highlight w:val="none"/>
                <w:lang w:val="en-US" w:eastAsia="zh-CN"/>
              </w:rPr>
            </w:pPr>
            <w:r>
              <w:rPr>
                <w:rFonts w:hint="eastAsia"/>
                <w:b w:val="0"/>
                <w:bCs w:val="0"/>
                <w:color w:val="auto"/>
                <w:sz w:val="24"/>
                <w:szCs w:val="24"/>
                <w:highlight w:val="none"/>
                <w:lang w:val="en-US" w:eastAsia="zh-CN"/>
              </w:rPr>
              <w:t>服务类</w:t>
            </w:r>
          </w:p>
        </w:tc>
      </w:tr>
      <w:tr w14:paraId="4CD8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62AE486E">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4</w:t>
            </w:r>
          </w:p>
        </w:tc>
        <w:tc>
          <w:tcPr>
            <w:tcW w:w="1689" w:type="dxa"/>
            <w:vAlign w:val="center"/>
          </w:tcPr>
          <w:p w14:paraId="2BD9EFCD">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308" w:type="dxa"/>
            <w:vAlign w:val="center"/>
          </w:tcPr>
          <w:p w14:paraId="7E21E698">
            <w:pPr>
              <w:pStyle w:val="96"/>
              <w:widowControl w:val="0"/>
              <w:spacing w:before="0" w:beforeAutospacing="0" w:after="0" w:afterAutospacing="0" w:line="440" w:lineRule="exact"/>
              <w:jc w:val="both"/>
              <w:rPr>
                <w:rFonts w:hint="eastAsia" w:eastAsia="宋体"/>
                <w:color w:val="auto"/>
                <w:sz w:val="24"/>
                <w:szCs w:val="24"/>
                <w:highlight w:val="none"/>
                <w:lang w:val="en-US" w:eastAsia="zh-CN"/>
              </w:rPr>
            </w:pPr>
            <w:r>
              <w:rPr>
                <w:rFonts w:hint="eastAsia"/>
                <w:b w:val="0"/>
                <w:bCs w:val="0"/>
                <w:color w:val="auto"/>
                <w:sz w:val="24"/>
                <w:szCs w:val="24"/>
                <w:highlight w:val="none"/>
                <w:lang w:val="en-US" w:eastAsia="zh-CN"/>
              </w:rPr>
              <w:t>六安市金安区妇幼保健院代理购电服务项目</w:t>
            </w:r>
          </w:p>
        </w:tc>
      </w:tr>
      <w:tr w14:paraId="4F5F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617" w:type="dxa"/>
            <w:vAlign w:val="center"/>
          </w:tcPr>
          <w:p w14:paraId="59DA4788">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5</w:t>
            </w:r>
          </w:p>
        </w:tc>
        <w:tc>
          <w:tcPr>
            <w:tcW w:w="1689" w:type="dxa"/>
            <w:vAlign w:val="center"/>
          </w:tcPr>
          <w:p w14:paraId="7464BB18">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308" w:type="dxa"/>
            <w:vAlign w:val="center"/>
          </w:tcPr>
          <w:p w14:paraId="70232D28">
            <w:pPr>
              <w:pStyle w:val="96"/>
              <w:widowControl w:val="0"/>
              <w:spacing w:before="0" w:beforeAutospacing="0" w:after="0" w:afterAutospacing="0" w:line="440" w:lineRule="exact"/>
              <w:jc w:val="both"/>
              <w:rPr>
                <w:rFonts w:hint="default" w:eastAsia="宋体"/>
                <w:color w:val="auto"/>
                <w:sz w:val="24"/>
                <w:szCs w:val="24"/>
                <w:highlight w:val="none"/>
                <w:lang w:val="en-US" w:eastAsia="zh-CN"/>
              </w:rPr>
            </w:pPr>
            <w:r>
              <w:rPr>
                <w:rFonts w:hint="default" w:eastAsia="宋体"/>
                <w:b w:val="0"/>
                <w:bCs w:val="0"/>
                <w:color w:val="auto"/>
                <w:sz w:val="24"/>
                <w:szCs w:val="24"/>
                <w:highlight w:val="none"/>
                <w:lang w:val="en-US" w:eastAsia="zh-CN"/>
              </w:rPr>
              <w:t>JAFY-2025-004</w:t>
            </w:r>
          </w:p>
        </w:tc>
      </w:tr>
      <w:tr w14:paraId="189BB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42" w:hRule="atLeast"/>
          <w:jc w:val="center"/>
        </w:trPr>
        <w:tc>
          <w:tcPr>
            <w:tcW w:w="617" w:type="dxa"/>
            <w:vAlign w:val="center"/>
          </w:tcPr>
          <w:p w14:paraId="5C38D291">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6</w:t>
            </w:r>
          </w:p>
        </w:tc>
        <w:tc>
          <w:tcPr>
            <w:tcW w:w="1689" w:type="dxa"/>
            <w:vAlign w:val="center"/>
          </w:tcPr>
          <w:p w14:paraId="1EE656FC">
            <w:pPr>
              <w:spacing w:line="440" w:lineRule="exact"/>
              <w:jc w:val="center"/>
              <w:rPr>
                <w:rFonts w:ascii="宋体" w:hAnsi="宋体"/>
                <w:color w:val="auto"/>
                <w:sz w:val="24"/>
                <w:szCs w:val="24"/>
                <w:highlight w:val="none"/>
              </w:rPr>
            </w:pPr>
            <w:r>
              <w:rPr>
                <w:rFonts w:hint="eastAsia" w:ascii="宋体" w:hAnsi="宋体"/>
                <w:color w:val="auto"/>
                <w:sz w:val="24"/>
                <w:szCs w:val="24"/>
                <w:highlight w:val="none"/>
              </w:rPr>
              <w:t>付款方式</w:t>
            </w:r>
          </w:p>
        </w:tc>
        <w:tc>
          <w:tcPr>
            <w:tcW w:w="7308" w:type="dxa"/>
            <w:vAlign w:val="center"/>
          </w:tcPr>
          <w:p w14:paraId="66D26327">
            <w:pPr>
              <w:spacing w:line="440" w:lineRule="exact"/>
              <w:jc w:val="left"/>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val="en-US" w:eastAsia="zh-CN"/>
              </w:rPr>
              <w:t>以合同价格按月付款至供电公司。</w:t>
            </w:r>
          </w:p>
        </w:tc>
      </w:tr>
      <w:tr w14:paraId="4592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06" w:hRule="atLeast"/>
          <w:jc w:val="center"/>
        </w:trPr>
        <w:tc>
          <w:tcPr>
            <w:tcW w:w="617" w:type="dxa"/>
            <w:vAlign w:val="center"/>
          </w:tcPr>
          <w:p w14:paraId="397946DC">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7</w:t>
            </w:r>
          </w:p>
        </w:tc>
        <w:tc>
          <w:tcPr>
            <w:tcW w:w="1689" w:type="dxa"/>
            <w:vAlign w:val="center"/>
          </w:tcPr>
          <w:p w14:paraId="0B8C3EF7">
            <w:pPr>
              <w:spacing w:line="440" w:lineRule="exact"/>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服务期</w:t>
            </w:r>
          </w:p>
        </w:tc>
        <w:tc>
          <w:tcPr>
            <w:tcW w:w="7308" w:type="dxa"/>
            <w:vAlign w:val="center"/>
          </w:tcPr>
          <w:p w14:paraId="1CC38469">
            <w:pPr>
              <w:pStyle w:val="96"/>
              <w:widowControl w:val="0"/>
              <w:spacing w:before="0" w:beforeAutospacing="0" w:after="0" w:afterAutospacing="0" w:line="440" w:lineRule="exact"/>
              <w:jc w:val="both"/>
              <w:rPr>
                <w:rFonts w:hint="eastAsia" w:ascii="宋体" w:hAnsi="宋体" w:eastAsia="宋体" w:cs="Times New Roman"/>
                <w:color w:val="auto"/>
                <w:sz w:val="24"/>
                <w:szCs w:val="24"/>
                <w:highlight w:val="none"/>
                <w:lang w:eastAsia="zh-CN"/>
              </w:rPr>
            </w:pPr>
            <w:r>
              <w:rPr>
                <w:rFonts w:hint="eastAsia" w:eastAsia="宋体"/>
                <w:b w:val="0"/>
                <w:bCs w:val="0"/>
                <w:color w:val="auto"/>
                <w:sz w:val="24"/>
                <w:szCs w:val="24"/>
                <w:highlight w:val="none"/>
                <w:lang w:val="en-US" w:eastAsia="zh-CN"/>
              </w:rPr>
              <w:t>自合同签订之日起一年。（本项目一招三年，合同一年一签，考核合格后续签下一年度合同。）</w:t>
            </w:r>
          </w:p>
        </w:tc>
      </w:tr>
      <w:tr w14:paraId="2DF1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51AF5EA2">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8</w:t>
            </w:r>
          </w:p>
        </w:tc>
        <w:tc>
          <w:tcPr>
            <w:tcW w:w="1689" w:type="dxa"/>
            <w:vAlign w:val="center"/>
          </w:tcPr>
          <w:p w14:paraId="5BE758A4">
            <w:pPr>
              <w:pStyle w:val="94"/>
              <w:pBdr>
                <w:bottom w:val="none" w:color="auto" w:sz="0" w:space="0"/>
              </w:pBdr>
              <w:tabs>
                <w:tab w:val="clear" w:pos="4153"/>
                <w:tab w:val="clear" w:pos="8306"/>
              </w:tabs>
              <w:adjustRightInd/>
              <w:spacing w:line="440" w:lineRule="exact"/>
              <w:textAlignment w:val="auto"/>
              <w:rPr>
                <w:rFonts w:ascii="宋体" w:hAnsi="宋体"/>
                <w:b w:val="0"/>
                <w:bCs/>
                <w:color w:val="auto"/>
                <w:kern w:val="2"/>
                <w:szCs w:val="24"/>
                <w:highlight w:val="none"/>
                <w:lang w:val="en-US"/>
              </w:rPr>
            </w:pPr>
            <w:r>
              <w:rPr>
                <w:rFonts w:hint="eastAsia" w:ascii="宋体" w:hAnsi="宋体"/>
                <w:b w:val="0"/>
                <w:bCs/>
                <w:color w:val="auto"/>
                <w:kern w:val="2"/>
                <w:szCs w:val="24"/>
                <w:highlight w:val="none"/>
                <w:lang w:val="en-US"/>
              </w:rPr>
              <w:t>免费质保期</w:t>
            </w:r>
          </w:p>
        </w:tc>
        <w:tc>
          <w:tcPr>
            <w:tcW w:w="7308" w:type="dxa"/>
            <w:vAlign w:val="center"/>
          </w:tcPr>
          <w:p w14:paraId="353BC779">
            <w:pPr>
              <w:pStyle w:val="94"/>
              <w:pBdr>
                <w:bottom w:val="none" w:color="auto" w:sz="0" w:space="0"/>
              </w:pBdr>
              <w:tabs>
                <w:tab w:val="clear" w:pos="4153"/>
                <w:tab w:val="clear" w:pos="8306"/>
              </w:tabs>
              <w:adjustRightInd/>
              <w:spacing w:line="440" w:lineRule="exact"/>
              <w:jc w:val="left"/>
              <w:textAlignment w:val="auto"/>
              <w:rPr>
                <w:rFonts w:hint="default" w:eastAsia="宋体"/>
                <w:b w:val="0"/>
                <w:bCs/>
                <w:color w:val="auto"/>
                <w:szCs w:val="24"/>
                <w:highlight w:val="none"/>
                <w:lang w:val="en-US" w:eastAsia="zh-CN"/>
              </w:rPr>
            </w:pPr>
            <w:r>
              <w:rPr>
                <w:rFonts w:hint="eastAsia"/>
                <w:b w:val="0"/>
                <w:bCs/>
                <w:color w:val="auto"/>
                <w:szCs w:val="24"/>
                <w:highlight w:val="none"/>
                <w:lang w:val="en-US" w:eastAsia="zh-CN"/>
              </w:rPr>
              <w:t>无</w:t>
            </w:r>
          </w:p>
        </w:tc>
      </w:tr>
      <w:tr w14:paraId="3CDB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2C4A481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lang w:val="en-US" w:eastAsia="zh-CN"/>
              </w:rPr>
              <w:t>9</w:t>
            </w:r>
          </w:p>
        </w:tc>
        <w:tc>
          <w:tcPr>
            <w:tcW w:w="1689" w:type="dxa"/>
            <w:vAlign w:val="center"/>
          </w:tcPr>
          <w:p w14:paraId="0B6320A5">
            <w:pPr>
              <w:pStyle w:val="94"/>
              <w:pBdr>
                <w:bottom w:val="none" w:color="auto" w:sz="0" w:space="0"/>
              </w:pBdr>
              <w:tabs>
                <w:tab w:val="clear" w:pos="4153"/>
                <w:tab w:val="clear" w:pos="8306"/>
              </w:tabs>
              <w:adjustRightInd/>
              <w:spacing w:line="440" w:lineRule="exact"/>
              <w:textAlignment w:val="auto"/>
              <w:rPr>
                <w:rFonts w:ascii="宋体" w:hAnsi="宋体"/>
                <w:color w:val="auto"/>
                <w:szCs w:val="24"/>
                <w:highlight w:val="none"/>
              </w:rPr>
            </w:pPr>
            <w:r>
              <w:rPr>
                <w:rFonts w:hint="eastAsia" w:ascii="宋体" w:hAnsi="宋体"/>
                <w:bCs/>
                <w:color w:val="auto"/>
                <w:kern w:val="2"/>
                <w:szCs w:val="24"/>
                <w:highlight w:val="none"/>
              </w:rPr>
              <w:t>中标服务费</w:t>
            </w:r>
          </w:p>
        </w:tc>
        <w:tc>
          <w:tcPr>
            <w:tcW w:w="7308" w:type="dxa"/>
            <w:vAlign w:val="center"/>
          </w:tcPr>
          <w:p w14:paraId="4372229D">
            <w:pPr>
              <w:pStyle w:val="94"/>
              <w:pBdr>
                <w:bottom w:val="none" w:color="auto" w:sz="0" w:space="0"/>
              </w:pBdr>
              <w:tabs>
                <w:tab w:val="clear" w:pos="4153"/>
                <w:tab w:val="clear" w:pos="8306"/>
              </w:tabs>
              <w:adjustRightInd/>
              <w:spacing w:line="440" w:lineRule="exact"/>
              <w:jc w:val="left"/>
              <w:textAlignment w:val="auto"/>
              <w:rPr>
                <w:rFonts w:hint="default" w:eastAsia="宋体"/>
                <w:bCs/>
                <w:color w:val="auto"/>
                <w:szCs w:val="24"/>
                <w:highlight w:val="none"/>
                <w:lang w:val="en-US" w:eastAsia="zh-CN"/>
              </w:rPr>
            </w:pPr>
            <w:r>
              <w:rPr>
                <w:rFonts w:hint="eastAsia" w:eastAsia="宋体"/>
                <w:b w:val="0"/>
                <w:bCs/>
                <w:color w:val="auto"/>
                <w:szCs w:val="24"/>
                <w:highlight w:val="none"/>
                <w:lang w:val="en-US" w:eastAsia="zh-CN"/>
              </w:rPr>
              <w:t>无</w:t>
            </w:r>
          </w:p>
        </w:tc>
      </w:tr>
      <w:tr w14:paraId="1609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786" w:hRule="atLeast"/>
          <w:jc w:val="center"/>
        </w:trPr>
        <w:tc>
          <w:tcPr>
            <w:tcW w:w="617" w:type="dxa"/>
            <w:vAlign w:val="center"/>
          </w:tcPr>
          <w:p w14:paraId="0D5ECC99">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rPr>
              <w:t>1</w:t>
            </w:r>
            <w:r>
              <w:rPr>
                <w:rFonts w:hint="eastAsia" w:ascii="宋体" w:hAnsi="宋体"/>
                <w:b/>
                <w:color w:val="auto"/>
                <w:kern w:val="2"/>
                <w:szCs w:val="24"/>
                <w:highlight w:val="none"/>
                <w:lang w:val="en-US" w:eastAsia="zh-CN"/>
              </w:rPr>
              <w:t>0</w:t>
            </w:r>
          </w:p>
        </w:tc>
        <w:tc>
          <w:tcPr>
            <w:tcW w:w="1689" w:type="dxa"/>
            <w:vAlign w:val="center"/>
          </w:tcPr>
          <w:p w14:paraId="0140F240">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履约保证金</w:t>
            </w:r>
          </w:p>
        </w:tc>
        <w:tc>
          <w:tcPr>
            <w:tcW w:w="7308" w:type="dxa"/>
            <w:vAlign w:val="center"/>
          </w:tcPr>
          <w:p w14:paraId="3A387EF3">
            <w:pPr>
              <w:pStyle w:val="2"/>
              <w:ind w:firstLine="0"/>
              <w:jc w:val="left"/>
              <w:rPr>
                <w:rFonts w:hint="default" w:eastAsia="宋体"/>
                <w:color w:val="auto"/>
                <w:highlight w:val="none"/>
                <w:lang w:val="en-US" w:eastAsia="zh-CN"/>
              </w:rPr>
            </w:pPr>
            <w:r>
              <w:rPr>
                <w:rFonts w:hint="eastAsia" w:ascii="宋体" w:hAnsi="宋体" w:cs="宋体"/>
                <w:bCs/>
                <w:color w:val="auto"/>
                <w:kern w:val="2"/>
                <w:sz w:val="24"/>
                <w:szCs w:val="24"/>
                <w:highlight w:val="none"/>
                <w:lang w:val="en-US" w:eastAsia="zh-CN" w:bidi="ar-SA"/>
              </w:rPr>
              <w:t>无</w:t>
            </w:r>
          </w:p>
        </w:tc>
      </w:tr>
      <w:tr w14:paraId="7CFD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68" w:hRule="atLeast"/>
          <w:jc w:val="center"/>
        </w:trPr>
        <w:tc>
          <w:tcPr>
            <w:tcW w:w="617" w:type="dxa"/>
            <w:vAlign w:val="center"/>
          </w:tcPr>
          <w:p w14:paraId="03D028B5">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1</w:t>
            </w:r>
          </w:p>
        </w:tc>
        <w:tc>
          <w:tcPr>
            <w:tcW w:w="1689" w:type="dxa"/>
            <w:vAlign w:val="center"/>
          </w:tcPr>
          <w:p w14:paraId="262AC47E">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勘察及对接</w:t>
            </w:r>
          </w:p>
        </w:tc>
        <w:tc>
          <w:tcPr>
            <w:tcW w:w="7308" w:type="dxa"/>
            <w:vAlign w:val="center"/>
          </w:tcPr>
          <w:p w14:paraId="42E348C1">
            <w:pPr>
              <w:pStyle w:val="94"/>
              <w:pBdr>
                <w:bottom w:val="none" w:color="auto" w:sz="0" w:space="0"/>
              </w:pBdr>
              <w:tabs>
                <w:tab w:val="clear" w:pos="4153"/>
                <w:tab w:val="clear" w:pos="8306"/>
              </w:tabs>
              <w:adjustRightInd/>
              <w:spacing w:line="440" w:lineRule="exact"/>
              <w:jc w:val="both"/>
              <w:textAlignment w:val="auto"/>
              <w:rPr>
                <w:rFonts w:ascii="宋体" w:hAnsi="宋体"/>
                <w:bCs/>
                <w:color w:val="auto"/>
                <w:kern w:val="2"/>
                <w:szCs w:val="24"/>
                <w:highlight w:val="none"/>
              </w:rPr>
            </w:pPr>
            <w:r>
              <w:rPr>
                <w:rFonts w:hint="eastAsia" w:ascii="宋体" w:hAnsi="宋体" w:cs="宋体"/>
                <w:bCs/>
                <w:color w:val="auto"/>
                <w:kern w:val="2"/>
                <w:szCs w:val="24"/>
                <w:highlight w:val="none"/>
                <w:lang w:val="en-US" w:eastAsia="zh-CN"/>
              </w:rPr>
              <w:t>不组织，</w:t>
            </w:r>
            <w:r>
              <w:rPr>
                <w:rFonts w:hint="eastAsia" w:ascii="宋体" w:hAnsi="宋体" w:cs="宋体"/>
                <w:bCs/>
                <w:color w:val="auto"/>
                <w:kern w:val="2"/>
                <w:szCs w:val="24"/>
                <w:highlight w:val="none"/>
              </w:rPr>
              <w:t>供应商</w:t>
            </w:r>
            <w:r>
              <w:rPr>
                <w:rFonts w:hint="eastAsia" w:ascii="宋体" w:hAnsi="宋体" w:cs="宋体"/>
                <w:bCs/>
                <w:color w:val="auto"/>
                <w:kern w:val="2"/>
                <w:szCs w:val="24"/>
                <w:highlight w:val="none"/>
                <w:lang w:val="en-US" w:eastAsia="zh-CN"/>
              </w:rPr>
              <w:t>可</w:t>
            </w:r>
            <w:r>
              <w:rPr>
                <w:rFonts w:hint="eastAsia" w:ascii="宋体" w:hAnsi="宋体" w:cs="宋体"/>
                <w:bCs/>
                <w:color w:val="auto"/>
                <w:kern w:val="2"/>
                <w:szCs w:val="24"/>
                <w:highlight w:val="none"/>
              </w:rPr>
              <w:t>联系采购单位自行勘踏</w:t>
            </w:r>
          </w:p>
        </w:tc>
      </w:tr>
      <w:tr w14:paraId="33D6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617" w:type="dxa"/>
            <w:vAlign w:val="center"/>
          </w:tcPr>
          <w:p w14:paraId="4AB6E5C6">
            <w:pPr>
              <w:pStyle w:val="94"/>
              <w:pBdr>
                <w:bottom w:val="none" w:color="auto" w:sz="0" w:space="0"/>
              </w:pBdr>
              <w:tabs>
                <w:tab w:val="clear" w:pos="4153"/>
                <w:tab w:val="clear" w:pos="8306"/>
              </w:tabs>
              <w:adjustRightInd/>
              <w:spacing w:line="440" w:lineRule="exact"/>
              <w:textAlignment w:val="auto"/>
              <w:rPr>
                <w:rFonts w:ascii="宋体" w:hAnsi="宋体"/>
                <w:b/>
                <w:color w:val="auto"/>
                <w:kern w:val="2"/>
                <w:szCs w:val="24"/>
                <w:highlight w:val="none"/>
              </w:rPr>
            </w:pPr>
            <w:r>
              <w:rPr>
                <w:rFonts w:hint="eastAsia" w:ascii="宋体" w:hAnsi="宋体"/>
                <w:b/>
                <w:color w:val="auto"/>
                <w:kern w:val="2"/>
                <w:szCs w:val="24"/>
                <w:highlight w:val="none"/>
              </w:rPr>
              <w:t>13</w:t>
            </w:r>
          </w:p>
        </w:tc>
        <w:tc>
          <w:tcPr>
            <w:tcW w:w="1689" w:type="dxa"/>
            <w:vAlign w:val="center"/>
          </w:tcPr>
          <w:p w14:paraId="4DE63BA3">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提问与回复</w:t>
            </w:r>
          </w:p>
        </w:tc>
        <w:tc>
          <w:tcPr>
            <w:tcW w:w="7308" w:type="dxa"/>
            <w:vAlign w:val="center"/>
          </w:tcPr>
          <w:p w14:paraId="1ABE2575">
            <w:pPr>
              <w:pStyle w:val="94"/>
              <w:pBdr>
                <w:bottom w:val="none" w:color="auto" w:sz="0" w:space="0"/>
              </w:pBdr>
              <w:tabs>
                <w:tab w:val="clear" w:pos="4153"/>
                <w:tab w:val="clear" w:pos="8306"/>
              </w:tabs>
              <w:adjustRightInd/>
              <w:spacing w:line="440" w:lineRule="exact"/>
              <w:jc w:val="left"/>
              <w:textAlignment w:val="auto"/>
              <w:rPr>
                <w:rFonts w:hint="eastAsia" w:ascii="宋体" w:hAnsi="宋体" w:eastAsia="宋体"/>
                <w:bCs/>
                <w:color w:val="auto"/>
                <w:kern w:val="2"/>
                <w:szCs w:val="24"/>
                <w:highlight w:val="none"/>
                <w:lang w:eastAsia="zh-CN"/>
              </w:rPr>
            </w:pPr>
            <w:r>
              <w:rPr>
                <w:rFonts w:hint="eastAsia" w:ascii="宋体" w:hAnsi="宋体"/>
                <w:bCs/>
                <w:color w:val="auto"/>
                <w:kern w:val="2"/>
                <w:szCs w:val="24"/>
                <w:highlight w:val="none"/>
                <w:lang w:eastAsia="zh-CN"/>
              </w:rPr>
              <w:t>详见磋商公告</w:t>
            </w:r>
          </w:p>
        </w:tc>
      </w:tr>
      <w:tr w14:paraId="0FDE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1" w:hRule="atLeast"/>
          <w:jc w:val="center"/>
        </w:trPr>
        <w:tc>
          <w:tcPr>
            <w:tcW w:w="617" w:type="dxa"/>
            <w:vAlign w:val="center"/>
          </w:tcPr>
          <w:p w14:paraId="26965E9F">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4</w:t>
            </w:r>
          </w:p>
        </w:tc>
        <w:tc>
          <w:tcPr>
            <w:tcW w:w="1689" w:type="dxa"/>
            <w:vAlign w:val="center"/>
          </w:tcPr>
          <w:p w14:paraId="1406A1D0">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响应文件份数及要求</w:t>
            </w:r>
          </w:p>
        </w:tc>
        <w:tc>
          <w:tcPr>
            <w:tcW w:w="7308" w:type="dxa"/>
            <w:vAlign w:val="center"/>
          </w:tcPr>
          <w:p w14:paraId="6AC9B29D">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正本壹份，副本</w:t>
            </w:r>
            <w:r>
              <w:rPr>
                <w:rFonts w:hint="eastAsia" w:ascii="宋体" w:hAnsi="宋体"/>
                <w:bCs/>
                <w:color w:val="auto"/>
                <w:kern w:val="2"/>
                <w:szCs w:val="24"/>
                <w:highlight w:val="none"/>
                <w:lang w:val="en-US" w:eastAsia="zh-CN"/>
              </w:rPr>
              <w:t>贰</w:t>
            </w:r>
            <w:r>
              <w:rPr>
                <w:rFonts w:hint="eastAsia" w:ascii="宋体" w:hAnsi="宋体"/>
                <w:bCs/>
                <w:color w:val="auto"/>
                <w:kern w:val="2"/>
                <w:szCs w:val="24"/>
                <w:highlight w:val="none"/>
              </w:rPr>
              <w:t>份；</w:t>
            </w:r>
          </w:p>
        </w:tc>
      </w:tr>
      <w:tr w14:paraId="466A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10093868">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5</w:t>
            </w:r>
          </w:p>
        </w:tc>
        <w:tc>
          <w:tcPr>
            <w:tcW w:w="1689" w:type="dxa"/>
            <w:vAlign w:val="center"/>
          </w:tcPr>
          <w:p w14:paraId="47FA8CD9">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递交响应文件注意事项</w:t>
            </w:r>
          </w:p>
        </w:tc>
        <w:tc>
          <w:tcPr>
            <w:tcW w:w="7308" w:type="dxa"/>
            <w:vAlign w:val="center"/>
          </w:tcPr>
          <w:p w14:paraId="735B6E8E">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供应商的纸质投标文件必须密封，并在封口处加盖供应商公章，于</w:t>
            </w:r>
            <w:r>
              <w:rPr>
                <w:rFonts w:hint="eastAsia" w:ascii="宋体" w:hAnsi="宋体"/>
                <w:bCs/>
                <w:color w:val="auto"/>
                <w:kern w:val="2"/>
                <w:szCs w:val="24"/>
                <w:highlight w:val="none"/>
                <w:lang w:val="en-US" w:eastAsia="zh-CN"/>
              </w:rPr>
              <w:t>响应文件递交截止时间</w:t>
            </w:r>
            <w:r>
              <w:rPr>
                <w:rFonts w:hint="eastAsia" w:ascii="宋体" w:hAnsi="宋体"/>
                <w:bCs/>
                <w:color w:val="auto"/>
                <w:kern w:val="2"/>
                <w:szCs w:val="24"/>
                <w:highlight w:val="none"/>
              </w:rPr>
              <w:t>前送到</w:t>
            </w:r>
            <w:r>
              <w:rPr>
                <w:rFonts w:hint="eastAsia" w:ascii="宋体" w:hAnsi="宋体"/>
                <w:bCs/>
                <w:color w:val="auto"/>
                <w:kern w:val="2"/>
                <w:szCs w:val="24"/>
                <w:highlight w:val="none"/>
                <w:lang w:val="en-US" w:eastAsia="zh-CN"/>
              </w:rPr>
              <w:t>磋商</w:t>
            </w:r>
            <w:r>
              <w:rPr>
                <w:rFonts w:hint="eastAsia" w:ascii="宋体" w:hAnsi="宋体"/>
                <w:bCs/>
                <w:color w:val="auto"/>
                <w:kern w:val="2"/>
                <w:szCs w:val="24"/>
                <w:highlight w:val="none"/>
              </w:rPr>
              <w:t>现场</w:t>
            </w:r>
            <w:r>
              <w:rPr>
                <w:rFonts w:hint="eastAsia" w:ascii="宋体" w:hAnsi="宋体"/>
                <w:bCs/>
                <w:color w:val="auto"/>
                <w:kern w:val="2"/>
                <w:szCs w:val="24"/>
                <w:highlight w:val="none"/>
                <w:lang w:eastAsia="zh-CN"/>
              </w:rPr>
              <w:t>，</w:t>
            </w:r>
            <w:r>
              <w:rPr>
                <w:rFonts w:hint="eastAsia" w:ascii="宋体" w:hAnsi="宋体"/>
                <w:bCs/>
                <w:color w:val="auto"/>
                <w:kern w:val="2"/>
                <w:szCs w:val="24"/>
                <w:highlight w:val="none"/>
                <w:lang w:val="en-US" w:eastAsia="zh-CN"/>
              </w:rPr>
              <w:t>并现场开标</w:t>
            </w:r>
            <w:r>
              <w:rPr>
                <w:rFonts w:hint="eastAsia" w:ascii="宋体" w:hAnsi="宋体"/>
                <w:bCs/>
                <w:color w:val="auto"/>
                <w:kern w:val="2"/>
                <w:szCs w:val="24"/>
                <w:highlight w:val="none"/>
              </w:rPr>
              <w:t>，</w:t>
            </w:r>
            <w:r>
              <w:rPr>
                <w:rFonts w:hint="eastAsia" w:ascii="宋体" w:hAnsi="宋体"/>
                <w:bCs/>
                <w:color w:val="auto"/>
                <w:kern w:val="2"/>
                <w:szCs w:val="24"/>
                <w:highlight w:val="none"/>
                <w:lang w:val="en-US" w:eastAsia="zh-CN"/>
              </w:rPr>
              <w:t>供应商未到现场视为弃权，</w:t>
            </w:r>
            <w:r>
              <w:rPr>
                <w:rFonts w:hint="eastAsia" w:ascii="宋体" w:hAnsi="宋体"/>
                <w:bCs/>
                <w:color w:val="auto"/>
                <w:kern w:val="2"/>
                <w:szCs w:val="24"/>
                <w:highlight w:val="none"/>
              </w:rPr>
              <w:t>逾期不予接受。</w:t>
            </w:r>
          </w:p>
        </w:tc>
      </w:tr>
      <w:tr w14:paraId="5D13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617" w:type="dxa"/>
            <w:vAlign w:val="center"/>
          </w:tcPr>
          <w:p w14:paraId="33A8BCC5">
            <w:pPr>
              <w:pStyle w:val="94"/>
              <w:pBdr>
                <w:bottom w:val="none" w:color="auto" w:sz="0" w:space="0"/>
              </w:pBdr>
              <w:tabs>
                <w:tab w:val="clear" w:pos="4153"/>
                <w:tab w:val="clear" w:pos="8306"/>
              </w:tabs>
              <w:adjustRightInd/>
              <w:spacing w:line="440" w:lineRule="exact"/>
              <w:textAlignment w:val="auto"/>
              <w:rPr>
                <w:rFonts w:hint="default" w:ascii="宋体" w:hAnsi="宋体" w:eastAsia="宋体"/>
                <w:b/>
                <w:color w:val="auto"/>
                <w:kern w:val="2"/>
                <w:szCs w:val="24"/>
                <w:highlight w:val="none"/>
                <w:lang w:val="en-US" w:eastAsia="zh-CN"/>
              </w:rPr>
            </w:pPr>
            <w:r>
              <w:rPr>
                <w:rFonts w:hint="eastAsia" w:ascii="宋体" w:hAnsi="宋体"/>
                <w:b/>
                <w:color w:val="auto"/>
                <w:kern w:val="2"/>
                <w:szCs w:val="24"/>
                <w:highlight w:val="none"/>
                <w:lang w:val="en-US" w:eastAsia="zh-CN"/>
              </w:rPr>
              <w:t>16</w:t>
            </w:r>
          </w:p>
        </w:tc>
        <w:tc>
          <w:tcPr>
            <w:tcW w:w="1689" w:type="dxa"/>
            <w:vAlign w:val="center"/>
          </w:tcPr>
          <w:p w14:paraId="5EED2F80">
            <w:pPr>
              <w:pStyle w:val="94"/>
              <w:pBdr>
                <w:bottom w:val="none" w:color="auto" w:sz="0" w:space="0"/>
              </w:pBdr>
              <w:tabs>
                <w:tab w:val="clear" w:pos="4153"/>
                <w:tab w:val="clear" w:pos="8306"/>
              </w:tabs>
              <w:adjustRightInd/>
              <w:spacing w:line="440" w:lineRule="exact"/>
              <w:textAlignment w:val="auto"/>
              <w:rPr>
                <w:rFonts w:hint="eastAsia" w:ascii="宋体" w:hAnsi="宋体"/>
                <w:bCs/>
                <w:color w:val="auto"/>
                <w:kern w:val="2"/>
                <w:szCs w:val="24"/>
                <w:highlight w:val="none"/>
              </w:rPr>
            </w:pPr>
            <w:r>
              <w:rPr>
                <w:rFonts w:hint="eastAsia" w:ascii="宋体" w:hAnsi="宋体"/>
                <w:bCs/>
                <w:color w:val="auto"/>
                <w:sz w:val="24"/>
                <w:highlight w:val="none"/>
                <w:lang w:eastAsia="zh-CN"/>
              </w:rPr>
              <w:t>磋商</w:t>
            </w:r>
            <w:r>
              <w:rPr>
                <w:rFonts w:hint="eastAsia" w:ascii="宋体" w:hAnsi="宋体"/>
                <w:bCs/>
                <w:color w:val="auto"/>
                <w:sz w:val="24"/>
                <w:highlight w:val="none"/>
              </w:rPr>
              <w:t>保证金</w:t>
            </w:r>
          </w:p>
        </w:tc>
        <w:tc>
          <w:tcPr>
            <w:tcW w:w="7308" w:type="dxa"/>
            <w:vAlign w:val="center"/>
          </w:tcPr>
          <w:p w14:paraId="65530C80">
            <w:pPr>
              <w:pStyle w:val="94"/>
              <w:pBdr>
                <w:bottom w:val="none" w:color="auto" w:sz="0" w:space="0"/>
              </w:pBdr>
              <w:tabs>
                <w:tab w:val="clear" w:pos="4153"/>
                <w:tab w:val="clear" w:pos="8306"/>
              </w:tabs>
              <w:adjustRightInd/>
              <w:spacing w:line="440" w:lineRule="exact"/>
              <w:jc w:val="left"/>
              <w:textAlignment w:val="auto"/>
              <w:rPr>
                <w:rFonts w:hint="default" w:ascii="宋体" w:hAnsi="宋体" w:eastAsia="宋体"/>
                <w:bCs/>
                <w:color w:val="auto"/>
                <w:kern w:val="2"/>
                <w:szCs w:val="24"/>
                <w:highlight w:val="none"/>
                <w:lang w:val="en-US" w:eastAsia="zh-CN"/>
              </w:rPr>
            </w:pPr>
            <w:r>
              <w:rPr>
                <w:rFonts w:hint="eastAsia" w:ascii="宋体" w:hAnsi="宋体"/>
                <w:bCs/>
                <w:color w:val="auto"/>
                <w:kern w:val="2"/>
                <w:szCs w:val="24"/>
                <w:highlight w:val="none"/>
                <w:lang w:val="en-US" w:eastAsia="zh-CN"/>
              </w:rPr>
              <w:t>无</w:t>
            </w:r>
          </w:p>
        </w:tc>
      </w:tr>
      <w:tr w14:paraId="70C90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17" w:type="dxa"/>
            <w:vAlign w:val="center"/>
          </w:tcPr>
          <w:p w14:paraId="720ED41D">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7</w:t>
            </w:r>
          </w:p>
        </w:tc>
        <w:tc>
          <w:tcPr>
            <w:tcW w:w="1689" w:type="dxa"/>
            <w:vAlign w:val="center"/>
          </w:tcPr>
          <w:p w14:paraId="5B7AB47E">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备注一</w:t>
            </w:r>
          </w:p>
        </w:tc>
        <w:tc>
          <w:tcPr>
            <w:tcW w:w="7308" w:type="dxa"/>
            <w:vAlign w:val="center"/>
          </w:tcPr>
          <w:p w14:paraId="686CBEF1">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1、存在以下不良信用记录情形之一的，不得推荐为成交候选供应商,评审时磋商小组应当按照下列第3条不良信用记录查询渠道对供应商是否存在不良信用记录进行查询：</w:t>
            </w:r>
          </w:p>
          <w:p w14:paraId="30D644AE">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（1）供应商被人民法院列入失信被执行人的；</w:t>
            </w:r>
          </w:p>
          <w:p w14:paraId="7B10F983">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（2）供应商被市场监督管理部门列入企业经营异常名录的；</w:t>
            </w:r>
          </w:p>
          <w:p w14:paraId="0C0E0BE6">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（3）供应商被税务部门列入重大税收违法案件当事人名单的；</w:t>
            </w:r>
          </w:p>
          <w:p w14:paraId="405C08B2">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（4）供应商被政府采购监管部门列入政府采购严重违法失信行为记录名单的。</w:t>
            </w:r>
          </w:p>
          <w:p w14:paraId="28EA96E4">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2、联合体供应商，联合体任何一方存在上述不良信用记录的，视同联合体存在不良信用记录。</w:t>
            </w:r>
          </w:p>
          <w:p w14:paraId="18FF3E60">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3、不良信用记录查询渠道如下：</w:t>
            </w:r>
          </w:p>
          <w:p w14:paraId="73C5E9AE">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（1）失信被执行人：信用中国官网（www.creditchina.gov.cn）</w:t>
            </w:r>
          </w:p>
          <w:p w14:paraId="584A88A0">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（2）企业经营异常名录：信用中国官网（www.creditchina.gov.cn）</w:t>
            </w:r>
          </w:p>
          <w:p w14:paraId="29130D2C">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（3）重大税收违法案件当事人名单：信用中国官网（www.creditchina.gov.cn）</w:t>
            </w:r>
          </w:p>
          <w:p w14:paraId="37EA281B">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（4）政府采购严重违法失信行为记录名单：中国政府采购官网（www.ccgp.gov.cn）</w:t>
            </w:r>
          </w:p>
        </w:tc>
      </w:tr>
      <w:tr w14:paraId="0C04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617" w:type="dxa"/>
            <w:vAlign w:val="center"/>
          </w:tcPr>
          <w:p w14:paraId="070F23A3">
            <w:pPr>
              <w:pStyle w:val="94"/>
              <w:pBdr>
                <w:bottom w:val="none" w:color="auto" w:sz="0" w:space="0"/>
              </w:pBdr>
              <w:tabs>
                <w:tab w:val="clear" w:pos="4153"/>
                <w:tab w:val="clear" w:pos="8306"/>
              </w:tabs>
              <w:adjustRightInd/>
              <w:spacing w:line="440" w:lineRule="exact"/>
              <w:textAlignment w:val="auto"/>
              <w:rPr>
                <w:rFonts w:hint="eastAsia" w:ascii="宋体" w:hAnsi="宋体" w:eastAsia="宋体"/>
                <w:b/>
                <w:color w:val="auto"/>
                <w:kern w:val="2"/>
                <w:szCs w:val="24"/>
                <w:highlight w:val="none"/>
                <w:lang w:val="en-US" w:eastAsia="zh-CN"/>
              </w:rPr>
            </w:pPr>
            <w:r>
              <w:rPr>
                <w:rFonts w:hint="eastAsia" w:ascii="宋体" w:hAnsi="宋体"/>
                <w:b/>
                <w:color w:val="auto"/>
                <w:kern w:val="2"/>
                <w:szCs w:val="24"/>
                <w:highlight w:val="none"/>
              </w:rPr>
              <w:t>1</w:t>
            </w:r>
            <w:r>
              <w:rPr>
                <w:rFonts w:hint="eastAsia" w:ascii="宋体" w:hAnsi="宋体"/>
                <w:b/>
                <w:color w:val="auto"/>
                <w:kern w:val="2"/>
                <w:szCs w:val="24"/>
                <w:highlight w:val="none"/>
                <w:lang w:val="en-US" w:eastAsia="zh-CN"/>
              </w:rPr>
              <w:t>8</w:t>
            </w:r>
          </w:p>
        </w:tc>
        <w:tc>
          <w:tcPr>
            <w:tcW w:w="1689" w:type="dxa"/>
            <w:vAlign w:val="center"/>
          </w:tcPr>
          <w:p w14:paraId="0C84B690">
            <w:pPr>
              <w:pStyle w:val="94"/>
              <w:pBdr>
                <w:bottom w:val="none" w:color="auto" w:sz="0" w:space="0"/>
              </w:pBdr>
              <w:tabs>
                <w:tab w:val="clear" w:pos="4153"/>
                <w:tab w:val="clear" w:pos="8306"/>
              </w:tabs>
              <w:adjustRightInd/>
              <w:spacing w:line="440" w:lineRule="exact"/>
              <w:textAlignment w:val="auto"/>
              <w:rPr>
                <w:rFonts w:ascii="宋体" w:hAnsi="宋体"/>
                <w:bCs/>
                <w:color w:val="auto"/>
                <w:kern w:val="2"/>
                <w:szCs w:val="24"/>
                <w:highlight w:val="none"/>
              </w:rPr>
            </w:pPr>
            <w:r>
              <w:rPr>
                <w:rFonts w:hint="eastAsia" w:ascii="宋体" w:hAnsi="宋体"/>
                <w:bCs/>
                <w:color w:val="auto"/>
                <w:kern w:val="2"/>
                <w:szCs w:val="24"/>
                <w:highlight w:val="none"/>
              </w:rPr>
              <w:t>备注二</w:t>
            </w:r>
          </w:p>
        </w:tc>
        <w:tc>
          <w:tcPr>
            <w:tcW w:w="7308" w:type="dxa"/>
            <w:vAlign w:val="center"/>
          </w:tcPr>
          <w:p w14:paraId="4EE0C806">
            <w:pPr>
              <w:pStyle w:val="94"/>
              <w:pBdr>
                <w:bottom w:val="none" w:color="auto" w:sz="0" w:space="0"/>
              </w:pBdr>
              <w:tabs>
                <w:tab w:val="clear" w:pos="4153"/>
                <w:tab w:val="clear" w:pos="8306"/>
              </w:tabs>
              <w:adjustRightInd/>
              <w:spacing w:line="440" w:lineRule="exact"/>
              <w:jc w:val="left"/>
              <w:textAlignment w:val="auto"/>
              <w:rPr>
                <w:rFonts w:ascii="宋体" w:hAnsi="宋体"/>
                <w:bCs/>
                <w:color w:val="auto"/>
                <w:kern w:val="2"/>
                <w:szCs w:val="24"/>
                <w:highlight w:val="none"/>
              </w:rPr>
            </w:pPr>
            <w:r>
              <w:rPr>
                <w:rFonts w:hint="eastAsia" w:ascii="宋体" w:hAnsi="宋体"/>
                <w:bCs/>
                <w:color w:val="auto"/>
                <w:kern w:val="2"/>
                <w:szCs w:val="24"/>
                <w:highlight w:val="none"/>
              </w:rPr>
              <w:t>特别提醒：供应商参与政府采购，应当诚信守法、公平竞争。如有以提供虚假材料（包括但不限于虚假技术参数响应、虚假业绩、虚假证书、虚假检测报告等）、串通投标、隐瞒失信信息等谋取中标的行为，一经发现，将报监管部门严肃查处。</w:t>
            </w:r>
          </w:p>
        </w:tc>
      </w:tr>
    </w:tbl>
    <w:p w14:paraId="003A7D35">
      <w:pPr>
        <w:pStyle w:val="5"/>
        <w:spacing w:before="0" w:after="0" w:line="520" w:lineRule="exact"/>
        <w:ind w:firstLine="241" w:firstLineChars="100"/>
        <w:jc w:val="center"/>
        <w:rPr>
          <w:rFonts w:ascii="宋体" w:hAnsi="宋体" w:eastAsia="宋体" w:cs="宋体"/>
          <w:color w:val="auto"/>
          <w:sz w:val="24"/>
          <w:szCs w:val="24"/>
          <w:highlight w:val="none"/>
        </w:rPr>
      </w:pPr>
      <w:bookmarkStart w:id="18" w:name="_Toc15181"/>
      <w:r>
        <w:rPr>
          <w:rFonts w:hint="eastAsia" w:ascii="宋体" w:hAnsi="宋体" w:eastAsia="宋体" w:cs="宋体"/>
          <w:color w:val="auto"/>
          <w:sz w:val="24"/>
          <w:szCs w:val="24"/>
          <w:highlight w:val="none"/>
        </w:rPr>
        <w:t>（二）供应商资格</w:t>
      </w:r>
      <w:bookmarkEnd w:id="18"/>
    </w:p>
    <w:bookmarkEnd w:id="15"/>
    <w:p w14:paraId="371F844B">
      <w:pPr>
        <w:pStyle w:val="2"/>
        <w:spacing w:after="0" w:line="520" w:lineRule="exact"/>
        <w:ind w:firstLine="480" w:firstLineChars="200"/>
        <w:jc w:val="left"/>
        <w:rPr>
          <w:color w:val="auto"/>
          <w:highlight w:val="none"/>
        </w:rPr>
      </w:pPr>
      <w:bookmarkStart w:id="19" w:name="_Toc363199266"/>
      <w:bookmarkStart w:id="20" w:name="_Toc438648662"/>
      <w:bookmarkStart w:id="21" w:name="_Toc216158625"/>
      <w:r>
        <w:rPr>
          <w:rFonts w:hint="eastAsia"/>
          <w:color w:val="auto"/>
          <w:highlight w:val="none"/>
        </w:rPr>
        <w:t>见本项目采购公告</w:t>
      </w:r>
    </w:p>
    <w:p w14:paraId="06608C61">
      <w:pPr>
        <w:pStyle w:val="5"/>
        <w:spacing w:before="0" w:after="0" w:line="520" w:lineRule="exact"/>
        <w:jc w:val="center"/>
        <w:rPr>
          <w:rFonts w:ascii="宋体" w:hAnsi="宋体" w:eastAsia="宋体" w:cs="宋体"/>
          <w:color w:val="auto"/>
          <w:sz w:val="24"/>
          <w:szCs w:val="24"/>
          <w:highlight w:val="none"/>
        </w:rPr>
      </w:pPr>
      <w:bookmarkStart w:id="22" w:name="_Toc8254"/>
      <w:r>
        <w:rPr>
          <w:rFonts w:hint="eastAsia" w:ascii="宋体" w:hAnsi="宋体" w:eastAsia="宋体" w:cs="宋体"/>
          <w:color w:val="auto"/>
          <w:sz w:val="24"/>
          <w:szCs w:val="24"/>
          <w:highlight w:val="none"/>
        </w:rPr>
        <w:t>（三）供应商必须提交的响应文件内容</w:t>
      </w:r>
      <w:bookmarkEnd w:id="19"/>
      <w:bookmarkEnd w:id="20"/>
      <w:bookmarkEnd w:id="21"/>
      <w:bookmarkEnd w:id="22"/>
    </w:p>
    <w:p w14:paraId="5F7D9DC3">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1、报价单；</w:t>
      </w:r>
    </w:p>
    <w:p w14:paraId="16CEEB3B">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2、供应商基本信息；</w:t>
      </w:r>
    </w:p>
    <w:p w14:paraId="6377B748">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3、磋商授权书；</w:t>
      </w:r>
    </w:p>
    <w:p w14:paraId="0F18151E">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4、磋商响应函；</w:t>
      </w:r>
    </w:p>
    <w:p w14:paraId="79286336">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5、无重大违法记录声明函、无不良信用记录承诺函；</w:t>
      </w:r>
    </w:p>
    <w:p w14:paraId="44A60E1F">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6、响应情况表；</w:t>
      </w:r>
    </w:p>
    <w:p w14:paraId="66009FAC">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7、相关服务承诺函；</w:t>
      </w:r>
    </w:p>
    <w:p w14:paraId="5468F30E">
      <w:pPr>
        <w:spacing w:line="5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 xml:space="preserve">、磋商文件要求和供应商认为需要提供的其它说明和资料。 </w:t>
      </w:r>
    </w:p>
    <w:p w14:paraId="56A77F8D">
      <w:pPr>
        <w:pStyle w:val="2"/>
        <w:rPr>
          <w:color w:val="auto"/>
          <w:highlight w:val="none"/>
        </w:rPr>
      </w:pPr>
    </w:p>
    <w:p w14:paraId="4B4DAD40">
      <w:pPr>
        <w:pStyle w:val="5"/>
        <w:spacing w:before="0" w:after="0" w:line="520" w:lineRule="exact"/>
        <w:jc w:val="center"/>
        <w:rPr>
          <w:rFonts w:ascii="宋体" w:hAnsi="宋体" w:eastAsia="宋体" w:cs="宋体"/>
          <w:color w:val="auto"/>
          <w:sz w:val="24"/>
          <w:szCs w:val="24"/>
          <w:highlight w:val="none"/>
        </w:rPr>
      </w:pPr>
      <w:bookmarkStart w:id="23" w:name="_Toc21758"/>
      <w:bookmarkStart w:id="24" w:name="_Toc21125"/>
      <w:r>
        <w:rPr>
          <w:rFonts w:hint="eastAsia" w:ascii="宋体" w:hAnsi="宋体" w:eastAsia="宋体" w:cs="宋体"/>
          <w:color w:val="auto"/>
          <w:sz w:val="24"/>
          <w:szCs w:val="24"/>
          <w:highlight w:val="none"/>
        </w:rPr>
        <w:t>（四）响应文件的提交</w:t>
      </w:r>
      <w:bookmarkEnd w:id="23"/>
      <w:bookmarkEnd w:id="24"/>
    </w:p>
    <w:bookmarkEnd w:id="16"/>
    <w:bookmarkEnd w:id="17"/>
    <w:p w14:paraId="65C67DB0">
      <w:pPr>
        <w:pStyle w:val="16"/>
        <w:spacing w:line="360" w:lineRule="auto"/>
        <w:ind w:firstLine="241" w:firstLineChars="100"/>
        <w:rPr>
          <w:rFonts w:hAnsi="宋体"/>
          <w:b/>
          <w:color w:val="auto"/>
          <w:sz w:val="24"/>
          <w:szCs w:val="24"/>
          <w:highlight w:val="none"/>
        </w:rPr>
      </w:pPr>
      <w:bookmarkStart w:id="25" w:name="_Toc31839"/>
      <w:bookmarkStart w:id="26" w:name="_Toc15950"/>
      <w:r>
        <w:rPr>
          <w:rFonts w:hint="eastAsia" w:hAnsi="宋体"/>
          <w:b/>
          <w:color w:val="auto"/>
          <w:sz w:val="24"/>
          <w:szCs w:val="24"/>
          <w:highlight w:val="none"/>
        </w:rPr>
        <w:t>1、响应文件的密封和标记</w:t>
      </w:r>
    </w:p>
    <w:p w14:paraId="00B9751B">
      <w:pPr>
        <w:pStyle w:val="16"/>
        <w:spacing w:line="360" w:lineRule="exact"/>
        <w:ind w:firstLine="470" w:firstLineChars="196"/>
        <w:rPr>
          <w:rFonts w:hint="eastAsia" w:hAnsi="宋体" w:cs="宋体"/>
          <w:bCs/>
          <w:color w:val="auto"/>
          <w:sz w:val="24"/>
          <w:szCs w:val="24"/>
          <w:highlight w:val="none"/>
        </w:rPr>
      </w:pPr>
      <w:r>
        <w:rPr>
          <w:rFonts w:hint="eastAsia" w:hAnsi="宋体" w:cs="宋体"/>
          <w:bCs/>
          <w:color w:val="auto"/>
          <w:sz w:val="24"/>
          <w:szCs w:val="24"/>
          <w:highlight w:val="none"/>
        </w:rPr>
        <w:t>1.1响应文件的正本和所有副本均应胶装成册，不得活页装订，否则作废标处理。</w:t>
      </w:r>
    </w:p>
    <w:p w14:paraId="1DE672C9">
      <w:pPr>
        <w:adjustRightInd w:val="0"/>
        <w:snapToGrid w:val="0"/>
        <w:spacing w:line="440" w:lineRule="exact"/>
        <w:ind w:firstLine="470" w:firstLineChars="196"/>
        <w:rPr>
          <w:rFonts w:hint="eastAsia" w:ascii="宋体" w:hAnsi="宋体"/>
          <w:color w:val="auto"/>
          <w:sz w:val="24"/>
          <w:highlight w:val="none"/>
        </w:rPr>
      </w:pPr>
      <w:r>
        <w:rPr>
          <w:rFonts w:hint="eastAsia" w:ascii="宋体" w:hAnsi="宋体"/>
          <w:color w:val="auto"/>
          <w:sz w:val="24"/>
          <w:highlight w:val="none"/>
        </w:rPr>
        <w:t>1.2投标人应将响应文件的正本和副本分别密封，并在封袋上明确注明“正本”或“副本”，在密封处加盖供应商公章和法定代表人签字或盖章。当响应文件正本和副本内容不一致时，以正本内容为准，供应商应无异议，否则按废标处理。</w:t>
      </w:r>
    </w:p>
    <w:p w14:paraId="10481C07">
      <w:pPr>
        <w:pStyle w:val="16"/>
        <w:spacing w:line="360" w:lineRule="exact"/>
        <w:ind w:firstLine="470" w:firstLineChars="196"/>
        <w:rPr>
          <w:rFonts w:hint="eastAsia" w:hAnsi="宋体" w:cs="宋体"/>
          <w:bCs/>
          <w:color w:val="auto"/>
          <w:sz w:val="24"/>
          <w:szCs w:val="24"/>
          <w:highlight w:val="none"/>
        </w:rPr>
      </w:pPr>
      <w:r>
        <w:rPr>
          <w:rFonts w:hint="eastAsia" w:hAnsi="宋体"/>
          <w:color w:val="auto"/>
          <w:sz w:val="24"/>
          <w:highlight w:val="none"/>
        </w:rPr>
        <w:t>1.3</w:t>
      </w:r>
      <w:r>
        <w:rPr>
          <w:rFonts w:hint="eastAsia" w:hAnsi="宋体" w:cs="宋体"/>
          <w:bCs/>
          <w:color w:val="auto"/>
          <w:sz w:val="24"/>
          <w:szCs w:val="24"/>
          <w:highlight w:val="none"/>
        </w:rPr>
        <w:t>响应文件在响应文件密封袋上均应写明：</w:t>
      </w:r>
    </w:p>
    <w:p w14:paraId="367E9AEC">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lang w:eastAsia="zh-CN"/>
        </w:rPr>
        <w:t>采购人</w:t>
      </w:r>
      <w:r>
        <w:rPr>
          <w:rFonts w:hint="eastAsia" w:hAnsi="宋体" w:cs="宋体"/>
          <w:bCs/>
          <w:color w:val="auto"/>
          <w:sz w:val="24"/>
          <w:szCs w:val="24"/>
          <w:highlight w:val="none"/>
        </w:rPr>
        <w:t xml:space="preserve">名称：                         </w:t>
      </w:r>
    </w:p>
    <w:p w14:paraId="4C8AAC3C">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 xml:space="preserve">项目编号：                            </w:t>
      </w:r>
    </w:p>
    <w:p w14:paraId="6866C7E6">
      <w:pPr>
        <w:pStyle w:val="16"/>
        <w:spacing w:line="360" w:lineRule="exact"/>
        <w:ind w:firstLine="480" w:firstLineChars="200"/>
        <w:rPr>
          <w:rFonts w:hint="eastAsia" w:hAnsi="宋体" w:cs="宋体"/>
          <w:bCs/>
          <w:color w:val="auto"/>
          <w:sz w:val="24"/>
          <w:szCs w:val="24"/>
          <w:highlight w:val="none"/>
        </w:rPr>
      </w:pPr>
      <w:r>
        <w:rPr>
          <w:rFonts w:hint="eastAsia" w:hAnsi="宋体" w:cs="宋体"/>
          <w:bCs/>
          <w:color w:val="auto"/>
          <w:sz w:val="24"/>
          <w:szCs w:val="24"/>
          <w:highlight w:val="none"/>
        </w:rPr>
        <w:t xml:space="preserve">项目名称：                      </w:t>
      </w:r>
    </w:p>
    <w:p w14:paraId="585C6120">
      <w:pPr>
        <w:adjustRightInd w:val="0"/>
        <w:snapToGrid w:val="0"/>
        <w:spacing w:line="440" w:lineRule="exact"/>
        <w:ind w:firstLine="480" w:firstLineChars="200"/>
        <w:rPr>
          <w:rFonts w:hint="eastAsia" w:hAnsi="宋体" w:cs="宋体"/>
          <w:bCs/>
          <w:color w:val="auto"/>
          <w:sz w:val="24"/>
          <w:highlight w:val="none"/>
        </w:rPr>
      </w:pPr>
      <w:r>
        <w:rPr>
          <w:rFonts w:hint="eastAsia" w:hAnsi="宋体" w:cs="宋体"/>
          <w:bCs/>
          <w:color w:val="auto"/>
          <w:sz w:val="24"/>
          <w:highlight w:val="none"/>
          <w:u w:val="single"/>
        </w:rPr>
        <w:t xml:space="preserve">     </w:t>
      </w:r>
      <w:r>
        <w:rPr>
          <w:rFonts w:hint="eastAsia" w:hAnsi="宋体" w:cs="宋体"/>
          <w:bCs/>
          <w:color w:val="auto"/>
          <w:sz w:val="24"/>
          <w:highlight w:val="none"/>
        </w:rPr>
        <w:t>年</w:t>
      </w:r>
      <w:r>
        <w:rPr>
          <w:rFonts w:hint="eastAsia" w:hAnsi="宋体" w:cs="宋体"/>
          <w:bCs/>
          <w:color w:val="auto"/>
          <w:sz w:val="24"/>
          <w:highlight w:val="none"/>
          <w:u w:val="single"/>
        </w:rPr>
        <w:t xml:space="preserve">     </w:t>
      </w:r>
      <w:r>
        <w:rPr>
          <w:rFonts w:hint="eastAsia" w:hAnsi="宋体" w:cs="宋体"/>
          <w:bCs/>
          <w:color w:val="auto"/>
          <w:sz w:val="24"/>
          <w:highlight w:val="none"/>
        </w:rPr>
        <w:t>月</w:t>
      </w:r>
      <w:r>
        <w:rPr>
          <w:rFonts w:hint="eastAsia" w:hAnsi="宋体" w:cs="宋体"/>
          <w:bCs/>
          <w:color w:val="auto"/>
          <w:sz w:val="24"/>
          <w:highlight w:val="none"/>
          <w:u w:val="single"/>
        </w:rPr>
        <w:t xml:space="preserve">     </w:t>
      </w:r>
      <w:r>
        <w:rPr>
          <w:rFonts w:hint="eastAsia" w:hAnsi="宋体" w:cs="宋体"/>
          <w:bCs/>
          <w:color w:val="auto"/>
          <w:sz w:val="24"/>
          <w:highlight w:val="none"/>
        </w:rPr>
        <w:t>日</w:t>
      </w:r>
      <w:r>
        <w:rPr>
          <w:rFonts w:hint="eastAsia" w:hAnsi="宋体" w:cs="宋体"/>
          <w:bCs/>
          <w:color w:val="auto"/>
          <w:sz w:val="24"/>
          <w:highlight w:val="none"/>
          <w:u w:val="single"/>
        </w:rPr>
        <w:t xml:space="preserve">     </w:t>
      </w:r>
      <w:r>
        <w:rPr>
          <w:rFonts w:hint="eastAsia" w:hAnsi="宋体" w:cs="宋体"/>
          <w:bCs/>
          <w:color w:val="auto"/>
          <w:sz w:val="24"/>
          <w:highlight w:val="none"/>
        </w:rPr>
        <w:t>时</w:t>
      </w:r>
      <w:r>
        <w:rPr>
          <w:rFonts w:hint="eastAsia" w:hAnsi="宋体" w:cs="宋体"/>
          <w:bCs/>
          <w:color w:val="auto"/>
          <w:sz w:val="24"/>
          <w:highlight w:val="none"/>
          <w:u w:val="single"/>
        </w:rPr>
        <w:t xml:space="preserve">     </w:t>
      </w:r>
      <w:r>
        <w:rPr>
          <w:rFonts w:hint="eastAsia" w:hAnsi="宋体" w:cs="宋体"/>
          <w:bCs/>
          <w:color w:val="auto"/>
          <w:sz w:val="24"/>
          <w:highlight w:val="none"/>
        </w:rPr>
        <w:t>分</w:t>
      </w:r>
      <w:r>
        <w:rPr>
          <w:rFonts w:hint="eastAsia" w:hAnsi="宋体" w:cs="宋体"/>
          <w:bCs/>
          <w:color w:val="auto"/>
          <w:sz w:val="24"/>
          <w:highlight w:val="none"/>
          <w:lang w:eastAsia="zh-CN"/>
        </w:rPr>
        <w:t>磋商</w:t>
      </w:r>
      <w:r>
        <w:rPr>
          <w:rFonts w:hint="eastAsia" w:hAnsi="宋体" w:cs="宋体"/>
          <w:bCs/>
          <w:color w:val="auto"/>
          <w:sz w:val="24"/>
          <w:highlight w:val="none"/>
        </w:rPr>
        <w:t>，此时间以前不得开封</w:t>
      </w:r>
    </w:p>
    <w:p w14:paraId="5B33E1BA">
      <w:pPr>
        <w:pStyle w:val="16"/>
        <w:spacing w:line="360" w:lineRule="exact"/>
        <w:ind w:firstLine="480" w:firstLineChars="200"/>
        <w:rPr>
          <w:rFonts w:hint="eastAsia" w:hAnsi="宋体" w:eastAsia="宋体"/>
          <w:b/>
          <w:color w:val="auto"/>
          <w:sz w:val="24"/>
          <w:highlight w:val="none"/>
          <w:lang w:eastAsia="zh-CN"/>
        </w:rPr>
      </w:pPr>
      <w:r>
        <w:rPr>
          <w:rFonts w:hint="eastAsia" w:hAnsi="宋体" w:cs="宋体"/>
          <w:bCs/>
          <w:color w:val="auto"/>
          <w:sz w:val="24"/>
          <w:szCs w:val="24"/>
          <w:highlight w:val="none"/>
        </w:rPr>
        <w:t>供应商名称和地址</w:t>
      </w:r>
      <w:r>
        <w:rPr>
          <w:rFonts w:hint="eastAsia" w:hAnsi="宋体" w:cs="宋体"/>
          <w:bCs/>
          <w:color w:val="auto"/>
          <w:sz w:val="24"/>
          <w:szCs w:val="24"/>
          <w:highlight w:val="none"/>
          <w:lang w:eastAsia="zh-CN"/>
        </w:rPr>
        <w:t>：</w:t>
      </w:r>
    </w:p>
    <w:p w14:paraId="4C409F72">
      <w:pPr>
        <w:pStyle w:val="16"/>
        <w:spacing w:line="360" w:lineRule="auto"/>
        <w:rPr>
          <w:rFonts w:hAnsi="宋体"/>
          <w:b/>
          <w:color w:val="auto"/>
          <w:sz w:val="24"/>
          <w:szCs w:val="24"/>
          <w:highlight w:val="none"/>
        </w:rPr>
      </w:pPr>
      <w:r>
        <w:rPr>
          <w:rFonts w:hint="eastAsia" w:hAnsi="宋体"/>
          <w:b/>
          <w:color w:val="auto"/>
          <w:sz w:val="24"/>
          <w:szCs w:val="24"/>
          <w:highlight w:val="none"/>
        </w:rPr>
        <w:t>2、响应文件的递交</w:t>
      </w:r>
    </w:p>
    <w:p w14:paraId="0ACE9004">
      <w:pPr>
        <w:pStyle w:val="1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2.1供应商应按须知前附表规定的时间、地点，于询价截止时间前现场签到并提交响应文件。</w:t>
      </w:r>
    </w:p>
    <w:p w14:paraId="55F2FE83">
      <w:pPr>
        <w:pStyle w:val="16"/>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2.2在采购文件规定的询价截止时间以后递交的响应文件将被拒绝并退还给供应商。</w:t>
      </w:r>
    </w:p>
    <w:p w14:paraId="2EEEA08C">
      <w:pPr>
        <w:pStyle w:val="5"/>
        <w:spacing w:before="0" w:after="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（五）磋商程序</w:t>
      </w:r>
      <w:bookmarkEnd w:id="25"/>
      <w:bookmarkEnd w:id="26"/>
    </w:p>
    <w:p w14:paraId="5E49C262">
      <w:pPr>
        <w:tabs>
          <w:tab w:val="left" w:pos="900"/>
        </w:tabs>
        <w:spacing w:line="520" w:lineRule="exact"/>
        <w:ind w:firstLine="480" w:firstLineChars="200"/>
        <w:jc w:val="left"/>
        <w:rPr>
          <w:rFonts w:hint="eastAsia" w:ascii="宋体" w:hAnsi="宋体" w:cs="宋体"/>
          <w:b/>
          <w:bCs/>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本</w:t>
      </w:r>
      <w:r>
        <w:rPr>
          <w:rFonts w:hint="eastAsia" w:ascii="宋体" w:hAnsi="宋体" w:cs="宋体"/>
          <w:color w:val="auto"/>
          <w:sz w:val="24"/>
          <w:szCs w:val="24"/>
          <w:highlight w:val="none"/>
          <w:lang w:val="en-US" w:eastAsia="zh-CN"/>
        </w:rPr>
        <w:t>项目</w:t>
      </w:r>
      <w:r>
        <w:rPr>
          <w:rFonts w:hint="eastAsia" w:ascii="宋体" w:hAnsi="宋体" w:cs="宋体"/>
          <w:color w:val="auto"/>
          <w:sz w:val="24"/>
          <w:szCs w:val="24"/>
          <w:highlight w:val="none"/>
        </w:rPr>
        <w:t>磋商会议由采购人持，</w:t>
      </w:r>
      <w:r>
        <w:rPr>
          <w:rFonts w:hint="eastAsia" w:ascii="宋体" w:hAnsi="宋体" w:cs="宋体"/>
          <w:b/>
          <w:bCs/>
          <w:color w:val="auto"/>
          <w:sz w:val="24"/>
          <w:szCs w:val="24"/>
          <w:highlight w:val="none"/>
          <w:u w:val="single"/>
        </w:rPr>
        <w:t>到场的供应商代表若是法定代表人应出示居民身份证和有效法人身份证明书、</w:t>
      </w:r>
      <w:r>
        <w:rPr>
          <w:rFonts w:hint="eastAsia" w:ascii="宋体" w:hAnsi="宋体" w:cs="宋体"/>
          <w:b/>
          <w:bCs/>
          <w:color w:val="auto"/>
          <w:sz w:val="24"/>
          <w:szCs w:val="24"/>
          <w:highlight w:val="none"/>
          <w:u w:val="single"/>
          <w:lang w:val="en-US" w:eastAsia="zh-CN"/>
        </w:rPr>
        <w:t>营业执照</w:t>
      </w:r>
      <w:r>
        <w:rPr>
          <w:rFonts w:hint="eastAsia" w:ascii="宋体" w:hAnsi="宋体" w:cs="宋体"/>
          <w:b/>
          <w:bCs/>
          <w:color w:val="auto"/>
          <w:sz w:val="24"/>
          <w:szCs w:val="24"/>
          <w:highlight w:val="none"/>
          <w:u w:val="single"/>
        </w:rPr>
        <w:t>，若是委托代理人应出示有效的授权委托书及本人居民身份证、</w:t>
      </w:r>
      <w:r>
        <w:rPr>
          <w:rFonts w:hint="eastAsia" w:ascii="宋体" w:hAnsi="宋体" w:cs="宋体"/>
          <w:b/>
          <w:bCs/>
          <w:color w:val="auto"/>
          <w:sz w:val="24"/>
          <w:szCs w:val="24"/>
          <w:highlight w:val="none"/>
          <w:u w:val="single"/>
          <w:lang w:val="en-US" w:eastAsia="zh-CN"/>
        </w:rPr>
        <w:t>营业执照</w:t>
      </w:r>
      <w:r>
        <w:rPr>
          <w:rFonts w:hint="eastAsia" w:ascii="宋体" w:hAnsi="宋体" w:cs="宋体"/>
          <w:b/>
          <w:bCs/>
          <w:color w:val="auto"/>
          <w:sz w:val="24"/>
          <w:szCs w:val="24"/>
          <w:highlight w:val="none"/>
          <w:u w:val="single"/>
        </w:rPr>
        <w:t>。</w:t>
      </w:r>
    </w:p>
    <w:p w14:paraId="79A5F134">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磋商人员是按规定组成的三人或三人以上的磋商小组。</w:t>
      </w:r>
    </w:p>
    <w:p w14:paraId="59F91537">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、在掌握了供应商的基本情况后，磋商小组将按签到顺序，与供应商分别进行磋商。</w:t>
      </w:r>
    </w:p>
    <w:p w14:paraId="1F1CDA9E">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、磋商是分别单独进行的。供应商不得与其他参与磋商的供应商相互串通；磋商小组也不得将与某一供应商的磋商情况向其他供应商及其关系人透露。</w:t>
      </w:r>
    </w:p>
    <w:p w14:paraId="551C3514">
      <w:pPr>
        <w:tabs>
          <w:tab w:val="left" w:pos="900"/>
        </w:tabs>
        <w:spacing w:line="52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b/>
          <w:bCs/>
          <w:sz w:val="24"/>
          <w:szCs w:val="24"/>
        </w:rPr>
        <w:t>本次磋商采用一轮报价的方式进行，无二轮报价，即响应文件报价为最终报价。</w:t>
      </w:r>
    </w:p>
    <w:p w14:paraId="4DB9A243">
      <w:pPr>
        <w:tabs>
          <w:tab w:val="left" w:pos="900"/>
        </w:tabs>
        <w:spacing w:line="520" w:lineRule="exact"/>
        <w:ind w:firstLine="482" w:firstLineChars="200"/>
        <w:jc w:val="left"/>
        <w:rPr>
          <w:rFonts w:ascii="宋体" w:hAnsi="宋体" w:cs="宋体"/>
          <w:b/>
          <w:bCs/>
          <w:color w:val="auto"/>
          <w:sz w:val="24"/>
          <w:szCs w:val="24"/>
          <w:highlight w:val="none"/>
        </w:rPr>
      </w:pPr>
    </w:p>
    <w:p w14:paraId="6944BADB">
      <w:pPr>
        <w:pStyle w:val="5"/>
        <w:spacing w:before="0" w:after="0" w:line="520" w:lineRule="exact"/>
        <w:jc w:val="center"/>
        <w:rPr>
          <w:rFonts w:ascii="宋体" w:hAnsi="宋体" w:eastAsia="宋体" w:cs="宋体"/>
          <w:color w:val="auto"/>
          <w:sz w:val="24"/>
          <w:szCs w:val="24"/>
          <w:highlight w:val="none"/>
        </w:rPr>
      </w:pPr>
      <w:bookmarkStart w:id="27" w:name="_Toc7501"/>
      <w:bookmarkStart w:id="28" w:name="_Toc32569"/>
      <w:r>
        <w:rPr>
          <w:rFonts w:hint="eastAsia" w:ascii="宋体" w:hAnsi="宋体" w:eastAsia="宋体" w:cs="宋体"/>
          <w:color w:val="auto"/>
          <w:sz w:val="24"/>
          <w:szCs w:val="24"/>
          <w:highlight w:val="none"/>
        </w:rPr>
        <w:t>（六）评审及异常情况处理</w:t>
      </w:r>
      <w:bookmarkEnd w:id="27"/>
      <w:bookmarkEnd w:id="28"/>
    </w:p>
    <w:p w14:paraId="34EF62C1">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1、磋商小组将遵循公平、公正的原则，对供应商最终提交的确认价进行综合评审，根据得分由高到低顺序推荐不少于3名成交候选供应商。</w:t>
      </w:r>
    </w:p>
    <w:p w14:paraId="2377CF6D">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2、磋商时出现以下情况之一的，将予以废标：</w:t>
      </w:r>
    </w:p>
    <w:p w14:paraId="4D98029F">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（1）符合专业条件的供应商或者对采购文件作实质性响应的供应商不足三家的；</w:t>
      </w:r>
    </w:p>
    <w:p w14:paraId="022798EC">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（2）供应商的报价均超过了采购预算，经过多轮磋商仍不能降到预算内、且采购人不能支付的；</w:t>
      </w:r>
    </w:p>
    <w:p w14:paraId="2F907628">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（3）经过磋商，供应商所提供的服务仍无法满足磋商文件实质性要求、影响工作的；</w:t>
      </w:r>
    </w:p>
    <w:p w14:paraId="01B24DAC">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（4）出现影响采购公正的违法、违规行为的；</w:t>
      </w:r>
    </w:p>
    <w:p w14:paraId="6D993EC9">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（5）因重大变故，采购任务取消的。</w:t>
      </w:r>
    </w:p>
    <w:p w14:paraId="2683F2D4">
      <w:pPr>
        <w:spacing w:line="52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3、重</w:t>
      </w:r>
      <w:r>
        <w:rPr>
          <w:rFonts w:hint="eastAsia" w:ascii="宋体" w:hAnsi="宋体" w:cs="Arial"/>
          <w:color w:val="auto"/>
          <w:sz w:val="24"/>
          <w:szCs w:val="24"/>
          <w:highlight w:val="none"/>
        </w:rPr>
        <w:t>新组织磋商，采购单位将通过</w:t>
      </w:r>
      <w:r>
        <w:rPr>
          <w:rFonts w:hint="eastAsia" w:ascii="宋体" w:hAnsi="宋体" w:cs="Arial"/>
          <w:color w:val="auto"/>
          <w:sz w:val="24"/>
          <w:szCs w:val="24"/>
          <w:highlight w:val="none"/>
          <w:lang w:eastAsia="zh-CN"/>
        </w:rPr>
        <w:t>新点电子交易平台</w:t>
      </w:r>
      <w:r>
        <w:rPr>
          <w:rFonts w:hint="eastAsia" w:ascii="宋体" w:hAnsi="宋体" w:cs="Arial"/>
          <w:color w:val="auto"/>
          <w:sz w:val="24"/>
          <w:szCs w:val="24"/>
          <w:highlight w:val="none"/>
          <w:lang w:val="en-US" w:eastAsia="zh-CN"/>
        </w:rPr>
        <w:t>网站</w:t>
      </w:r>
      <w:r>
        <w:rPr>
          <w:rFonts w:hint="eastAsia" w:ascii="宋体" w:hAnsi="宋体" w:cs="Arial"/>
          <w:color w:val="auto"/>
          <w:sz w:val="24"/>
          <w:szCs w:val="24"/>
          <w:highlight w:val="none"/>
        </w:rPr>
        <w:t>系统进行公告。</w:t>
      </w:r>
    </w:p>
    <w:p w14:paraId="5BD434F3">
      <w:pPr>
        <w:pStyle w:val="5"/>
        <w:spacing w:before="0" w:after="0" w:line="520" w:lineRule="exact"/>
        <w:jc w:val="center"/>
        <w:rPr>
          <w:rFonts w:hint="eastAsia" w:ascii="宋体" w:hAnsi="宋体" w:eastAsia="宋体" w:cs="宋体"/>
          <w:color w:val="auto"/>
          <w:sz w:val="24"/>
          <w:szCs w:val="24"/>
          <w:highlight w:val="none"/>
        </w:rPr>
      </w:pPr>
      <w:bookmarkStart w:id="29" w:name="_Toc18563"/>
    </w:p>
    <w:p w14:paraId="2E5312B6">
      <w:pPr>
        <w:pStyle w:val="5"/>
        <w:spacing w:before="0" w:after="0" w:line="52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（七）报价响应及答疑</w:t>
      </w:r>
      <w:bookmarkEnd w:id="29"/>
    </w:p>
    <w:p w14:paraId="766E036E">
      <w:pPr>
        <w:spacing w:line="520" w:lineRule="exact"/>
        <w:ind w:firstLine="480" w:firstLineChars="200"/>
        <w:rPr>
          <w:rFonts w:ascii="宋体" w:hAnsi="宋体"/>
          <w:b/>
          <w:bCs/>
          <w:color w:val="C00000"/>
          <w:sz w:val="24"/>
          <w:szCs w:val="24"/>
          <w:highlight w:val="none"/>
        </w:rPr>
      </w:pPr>
      <w:r>
        <w:rPr>
          <w:rFonts w:hint="eastAsia" w:ascii="宋体" w:hAnsi="宋体"/>
          <w:color w:val="auto"/>
          <w:sz w:val="24"/>
          <w:szCs w:val="24"/>
          <w:highlight w:val="none"/>
        </w:rPr>
        <w:t>1、响应报价应含有所投货物的税费（如关税、进口货物及其所用原材料、各种国内、外税费等）及包装、运至最终目的地的运输、保险、现场落地、安装调试、检测验收、培训和交付后规定免费维保期内维保等环节所发生的一切费用。</w:t>
      </w:r>
    </w:p>
    <w:p w14:paraId="1BF15C5D">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2、提交响应的货物必须是合法生产的符合国家有关要求的货物，并满足磋商文件规定的规格、参数、质量、价格、有效期、售后服务等要求。</w:t>
      </w:r>
    </w:p>
    <w:p w14:paraId="4B71E7F1">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CFC43A6">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23903A7D">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5、供应商如果对采购文件内容有相关疑问，可以</w:t>
      </w:r>
      <w:r>
        <w:rPr>
          <w:rFonts w:hint="eastAsia" w:ascii="宋体" w:hAnsi="宋体"/>
          <w:color w:val="auto"/>
          <w:sz w:val="24"/>
          <w:szCs w:val="24"/>
          <w:highlight w:val="none"/>
          <w:lang w:eastAsia="zh-CN"/>
        </w:rPr>
        <w:t>致电采购人。</w:t>
      </w:r>
      <w:r>
        <w:rPr>
          <w:rFonts w:hint="eastAsia" w:ascii="宋体" w:hAnsi="宋体"/>
          <w:color w:val="auto"/>
          <w:sz w:val="24"/>
          <w:szCs w:val="24"/>
          <w:highlight w:val="none"/>
          <w:lang w:val="en-US" w:eastAsia="zh-CN"/>
        </w:rPr>
        <w:t>供应</w:t>
      </w:r>
      <w:r>
        <w:rPr>
          <w:rFonts w:hint="eastAsia" w:ascii="宋体" w:hAnsi="宋体"/>
          <w:color w:val="auto"/>
          <w:sz w:val="24"/>
          <w:szCs w:val="24"/>
          <w:highlight w:val="none"/>
        </w:rPr>
        <w:t>商及时通过“答疑文件下载”及网站答疑公告栏目查看答疑文件。</w:t>
      </w:r>
    </w:p>
    <w:p w14:paraId="7D9E7B3F">
      <w:pPr>
        <w:spacing w:line="520"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6、供应商应确保其所提供的响应资料的真实性、有效性及合法性，否则，由此引起的任何责任由其自行承担。</w:t>
      </w:r>
    </w:p>
    <w:p w14:paraId="614B5E71">
      <w:pPr>
        <w:pStyle w:val="5"/>
        <w:spacing w:before="0" w:after="0" w:line="520" w:lineRule="exact"/>
        <w:jc w:val="center"/>
        <w:rPr>
          <w:rFonts w:ascii="宋体" w:hAnsi="宋体" w:eastAsia="宋体" w:cs="宋体"/>
          <w:color w:val="auto"/>
          <w:sz w:val="24"/>
          <w:szCs w:val="24"/>
          <w:highlight w:val="none"/>
        </w:rPr>
      </w:pPr>
      <w:bookmarkStart w:id="30" w:name="_Toc4239"/>
      <w:r>
        <w:rPr>
          <w:rFonts w:hint="eastAsia" w:ascii="宋体" w:hAnsi="宋体" w:eastAsia="宋体" w:cs="宋体"/>
          <w:color w:val="auto"/>
          <w:sz w:val="24"/>
          <w:szCs w:val="24"/>
          <w:highlight w:val="none"/>
        </w:rPr>
        <w:t>（八）合同的签订</w:t>
      </w:r>
      <w:bookmarkEnd w:id="30"/>
    </w:p>
    <w:p w14:paraId="7F0F74AD">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1、采购人应尽量缩短采购合同签订时间，不得晚于中标（成交）通知书发放之日起 7 个工作日。无正当理由不得拒绝或者拖延签订合同，因供应商自身原因导致无法及时签订的除外。采购文件、成交供应商的响应文件及澄清文件等，均作为合同的附件。</w:t>
      </w:r>
    </w:p>
    <w:p w14:paraId="55799C5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2、</w:t>
      </w:r>
      <w:r>
        <w:rPr>
          <w:rFonts w:ascii="宋体" w:hAnsi="宋体" w:cs="Arial"/>
          <w:color w:val="auto"/>
          <w:sz w:val="24"/>
          <w:szCs w:val="24"/>
          <w:highlight w:val="none"/>
        </w:rPr>
        <w:t>采购</w:t>
      </w:r>
      <w:r>
        <w:rPr>
          <w:rFonts w:hint="eastAsia" w:ascii="宋体" w:hAnsi="宋体" w:cs="Arial"/>
          <w:color w:val="auto"/>
          <w:sz w:val="24"/>
          <w:szCs w:val="24"/>
          <w:highlight w:val="none"/>
        </w:rPr>
        <w:t>单位</w:t>
      </w:r>
      <w:r>
        <w:rPr>
          <w:rFonts w:ascii="宋体" w:hAnsi="宋体" w:cs="Arial"/>
          <w:color w:val="auto"/>
          <w:sz w:val="24"/>
          <w:szCs w:val="24"/>
          <w:highlight w:val="none"/>
        </w:rPr>
        <w:t>在签订合同时，可以在不改变合同其他条款的前提下变更采购数量，但变</w:t>
      </w:r>
      <w:r>
        <w:rPr>
          <w:rFonts w:hint="eastAsia" w:ascii="宋体" w:hAnsi="宋体" w:cs="Arial"/>
          <w:color w:val="auto"/>
          <w:sz w:val="24"/>
          <w:szCs w:val="24"/>
          <w:highlight w:val="none"/>
        </w:rPr>
        <w:t>更的金额不得超过成交总价的10%。</w:t>
      </w:r>
    </w:p>
    <w:p w14:paraId="0D424E1B">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3、成交供应商因不可抗力或者自身原因不能在规定的时间内与采购人签订采购合同，采购人可以与排在成交供应商后第一位的候选供应商签订采购合同，以此类推或重新组织采购。</w:t>
      </w:r>
    </w:p>
    <w:p w14:paraId="72A1700B">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4、因政策变化等原因不能签订合同，造成企业合法利益受损的情形，采购人可以与供应商充分协商，给予合理补偿。</w:t>
      </w:r>
    </w:p>
    <w:p w14:paraId="30915F5A">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5、在签订合同时，供应商书面明确表示无需预付款或者主动要求降低预付款比例的，采购人可不适用前述（即付款方式）规定。</w:t>
      </w:r>
    </w:p>
    <w:p w14:paraId="384600FC">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6、采购文件和合同中没有约定预付款的，经供应商申请，采购人可以支付预付款。</w:t>
      </w:r>
    </w:p>
    <w:p w14:paraId="3F4DE016">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7、采购人可根据项目特点、供应商诚信等因素，要求供应商提交银行、保险公司、担保公司等金融机构出具的预付款保函或其他担保措施。</w:t>
      </w:r>
    </w:p>
    <w:p w14:paraId="61FE669A">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8、政府采购预付款应在合同、担保措施生效以及具备实施条件后 5 个工作日内支付。</w:t>
      </w:r>
    </w:p>
    <w:p w14:paraId="4B3553C0">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9、延迟支付中小企业款项的，供应商可要求采购人按照合同约定支付逾期利息，合同没有约定的，按照同期人民银行 LPR支付逾期利息。</w:t>
      </w:r>
    </w:p>
    <w:p w14:paraId="78FF0C17">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10、成交供应商无正当理由不与采购人订立合同的处罚依据：</w:t>
      </w:r>
    </w:p>
    <w:p w14:paraId="602CC3E2">
      <w:pPr>
        <w:spacing w:line="520" w:lineRule="exact"/>
        <w:ind w:firstLine="480" w:firstLineChars="200"/>
        <w:jc w:val="left"/>
        <w:rPr>
          <w:rFonts w:ascii="宋体" w:hAnsi="宋体" w:cs="Arial"/>
          <w:color w:val="auto"/>
          <w:sz w:val="24"/>
          <w:szCs w:val="24"/>
          <w:highlight w:val="none"/>
        </w:rPr>
      </w:pPr>
      <w:r>
        <w:rPr>
          <w:rFonts w:hint="eastAsia" w:ascii="宋体" w:hAnsi="宋体" w:cs="Arial"/>
          <w:color w:val="auto"/>
          <w:sz w:val="24"/>
          <w:szCs w:val="24"/>
          <w:highlight w:val="none"/>
        </w:rPr>
        <w:t>（1）《中华人民共和国政府采购法实施条例》</w:t>
      </w:r>
    </w:p>
    <w:p w14:paraId="33A1EAA6">
      <w:pPr>
        <w:pStyle w:val="2"/>
        <w:spacing w:after="0" w:line="520" w:lineRule="exact"/>
        <w:ind w:firstLine="480" w:firstLineChars="200"/>
        <w:rPr>
          <w:rFonts w:hint="eastAsia"/>
          <w:color w:val="auto"/>
          <w:highlight w:val="none"/>
        </w:rPr>
      </w:pPr>
      <w:r>
        <w:rPr>
          <w:rFonts w:hint="eastAsia" w:ascii="宋体" w:hAnsi="宋体" w:cs="Arial"/>
          <w:color w:val="auto"/>
          <w:sz w:val="24"/>
          <w:szCs w:val="24"/>
          <w:highlight w:val="none"/>
        </w:rPr>
        <w:t>第七十</w:t>
      </w:r>
      <w:r>
        <w:rPr>
          <w:rFonts w:hint="eastAsia"/>
          <w:color w:val="auto"/>
          <w:highlight w:val="none"/>
        </w:rPr>
        <w:t xml:space="preserve">二条 </w:t>
      </w:r>
      <w:r>
        <w:rPr>
          <w:rFonts w:hint="eastAsia"/>
          <w:color w:val="auto"/>
          <w:highlight w:val="none"/>
          <w:lang w:val="en-US" w:eastAsia="zh-CN"/>
        </w:rPr>
        <w:t>供应商有下列情形之一的，依照政府采购法第七十七条第一款的规定追究法律责任：……</w:t>
      </w:r>
    </w:p>
    <w:p w14:paraId="6C333ED1">
      <w:pPr>
        <w:pStyle w:val="2"/>
        <w:spacing w:after="0" w:line="520" w:lineRule="exact"/>
        <w:ind w:firstLine="480" w:firstLineChars="200"/>
        <w:rPr>
          <w:rFonts w:hint="eastAsia"/>
          <w:color w:val="auto"/>
          <w:highlight w:val="none"/>
        </w:rPr>
      </w:pPr>
      <w:r>
        <w:rPr>
          <w:rFonts w:hint="eastAsia"/>
          <w:color w:val="auto"/>
          <w:highlight w:val="none"/>
        </w:rPr>
        <w:t>（二）中标或者成交后无正当理由拒不与采购人签订政府采购合同；……</w:t>
      </w:r>
    </w:p>
    <w:p w14:paraId="39B68A79">
      <w:pPr>
        <w:pStyle w:val="2"/>
        <w:spacing w:after="0" w:line="520" w:lineRule="exact"/>
        <w:ind w:firstLine="480" w:firstLineChars="200"/>
        <w:rPr>
          <w:rFonts w:hint="eastAsia"/>
          <w:color w:val="auto"/>
          <w:highlight w:val="none"/>
        </w:rPr>
      </w:pPr>
      <w:r>
        <w:rPr>
          <w:rFonts w:hint="eastAsia"/>
          <w:color w:val="auto"/>
          <w:highlight w:val="none"/>
        </w:rPr>
        <w:t>（2）《中华人民共和国政府采购法》</w:t>
      </w:r>
    </w:p>
    <w:p w14:paraId="74848AC9">
      <w:pPr>
        <w:pStyle w:val="2"/>
        <w:spacing w:after="0" w:line="520" w:lineRule="exact"/>
        <w:ind w:firstLine="480" w:firstLineChars="200"/>
        <w:rPr>
          <w:color w:val="auto"/>
          <w:highlight w:val="none"/>
        </w:rPr>
      </w:pPr>
      <w:r>
        <w:rPr>
          <w:rFonts w:hint="eastAsia"/>
          <w:color w:val="auto"/>
          <w:highlight w:val="none"/>
        </w:rPr>
        <w:t>第七十七条 供应商有下列情形之一的，处以采购金额千分之五以上千分之十</w:t>
      </w:r>
      <w:r>
        <w:rPr>
          <w:rFonts w:hint="eastAsia"/>
          <w:color w:val="auto"/>
          <w:highlight w:val="none"/>
          <w:lang w:eastAsia="zh-CN"/>
        </w:rPr>
        <w:t>以</w:t>
      </w:r>
      <w:r>
        <w:rPr>
          <w:rFonts w:hint="eastAsia"/>
          <w:color w:val="auto"/>
          <w:highlight w:val="none"/>
        </w:rPr>
        <w:t>下的罚款，列入不良行为记录名单，在一至三年内禁止参加政府采购活动，有违法所得的，并处没收违法所得，情节严重的，由工商行政管理机关吊销营业执照；构成犯罪的，依法追究刑事责任：……</w:t>
      </w:r>
    </w:p>
    <w:p w14:paraId="4250BA42">
      <w:pPr>
        <w:pStyle w:val="2"/>
        <w:spacing w:after="0" w:line="520" w:lineRule="exact"/>
        <w:ind w:firstLine="480" w:firstLineChars="200"/>
        <w:rPr>
          <w:color w:val="auto"/>
          <w:highlight w:val="none"/>
        </w:rPr>
      </w:pPr>
      <w:r>
        <w:rPr>
          <w:rFonts w:hint="eastAsia"/>
          <w:color w:val="auto"/>
          <w:highlight w:val="none"/>
        </w:rPr>
        <w:t>（3）《政府采购非招标采购方式管理办法》（财政部令第74号）</w:t>
      </w:r>
    </w:p>
    <w:p w14:paraId="0633A839">
      <w:pPr>
        <w:pStyle w:val="2"/>
        <w:spacing w:after="0" w:line="520" w:lineRule="exact"/>
        <w:ind w:firstLine="480" w:firstLineChars="200"/>
        <w:rPr>
          <w:color w:val="auto"/>
          <w:highlight w:val="none"/>
        </w:rPr>
      </w:pPr>
      <w:r>
        <w:rPr>
          <w:rFonts w:hint="eastAsia"/>
          <w:color w:val="auto"/>
          <w:highlight w:val="none"/>
        </w:rPr>
        <w:t>第五十四条 成交供应商有下列情形之一的，责令限期整改，情节严重的，列入不良行为记录名单，在1至3年内禁止参加政府采购活动，并予以通报：……</w:t>
      </w:r>
    </w:p>
    <w:p w14:paraId="054C1525">
      <w:pPr>
        <w:pStyle w:val="2"/>
        <w:spacing w:after="0" w:line="520" w:lineRule="exact"/>
        <w:ind w:firstLine="480" w:firstLineChars="200"/>
        <w:rPr>
          <w:rFonts w:ascii="宋体" w:hAnsi="宋体" w:cs="宋体"/>
          <w:color w:val="auto"/>
          <w:szCs w:val="24"/>
          <w:highlight w:val="none"/>
        </w:rPr>
      </w:pPr>
      <w:r>
        <w:rPr>
          <w:rFonts w:hint="eastAsia"/>
          <w:color w:val="auto"/>
          <w:highlight w:val="none"/>
        </w:rPr>
        <w:t>（二）成交后无正当理由不与采购人签订合同的；……</w:t>
      </w:r>
    </w:p>
    <w:p w14:paraId="44EDC169">
      <w:pPr>
        <w:pStyle w:val="5"/>
        <w:spacing w:before="0" w:after="0" w:line="520" w:lineRule="exact"/>
        <w:jc w:val="center"/>
        <w:rPr>
          <w:rFonts w:ascii="宋体" w:hAnsi="宋体" w:eastAsia="宋体" w:cs="宋体"/>
          <w:color w:val="auto"/>
          <w:sz w:val="24"/>
          <w:szCs w:val="24"/>
          <w:highlight w:val="none"/>
        </w:rPr>
      </w:pPr>
      <w:bookmarkStart w:id="31" w:name="_Toc16479"/>
      <w:r>
        <w:rPr>
          <w:rFonts w:hint="eastAsia" w:ascii="宋体" w:hAnsi="宋体" w:eastAsia="宋体" w:cs="宋体"/>
          <w:color w:val="auto"/>
          <w:sz w:val="24"/>
          <w:szCs w:val="24"/>
          <w:highlight w:val="none"/>
        </w:rPr>
        <w:t>（九）澄清及变更</w:t>
      </w:r>
      <w:bookmarkEnd w:id="31"/>
    </w:p>
    <w:p w14:paraId="2F98C2BF">
      <w:pPr>
        <w:spacing w:line="520" w:lineRule="exact"/>
        <w:ind w:firstLine="480" w:firstLineChars="200"/>
        <w:rPr>
          <w:color w:val="auto"/>
          <w:highlight w:val="none"/>
        </w:rPr>
      </w:pPr>
      <w:r>
        <w:rPr>
          <w:rFonts w:hint="eastAsia" w:ascii="宋体" w:hAnsi="宋体"/>
          <w:color w:val="auto"/>
          <w:sz w:val="24"/>
          <w:szCs w:val="24"/>
          <w:highlight w:val="none"/>
        </w:rPr>
        <w:t>磋商文件如有澄清及变更，将以网上公告形式发布，请供应商及时关注。</w:t>
      </w:r>
    </w:p>
    <w:p w14:paraId="66ED3FE0">
      <w:pPr>
        <w:pStyle w:val="5"/>
        <w:spacing w:before="0" w:after="0" w:line="520" w:lineRule="exact"/>
        <w:jc w:val="center"/>
        <w:rPr>
          <w:rFonts w:ascii="宋体" w:hAnsi="宋体" w:eastAsia="宋体" w:cs="宋体"/>
          <w:color w:val="auto"/>
          <w:sz w:val="24"/>
          <w:szCs w:val="24"/>
          <w:highlight w:val="none"/>
        </w:rPr>
      </w:pPr>
      <w:bookmarkStart w:id="32" w:name="_Toc32257"/>
      <w:r>
        <w:rPr>
          <w:rFonts w:hint="eastAsia" w:ascii="宋体" w:hAnsi="宋体" w:eastAsia="宋体" w:cs="宋体"/>
          <w:color w:val="auto"/>
          <w:sz w:val="24"/>
          <w:szCs w:val="24"/>
          <w:highlight w:val="none"/>
        </w:rPr>
        <w:t>（十）验收</w:t>
      </w:r>
      <w:bookmarkEnd w:id="32"/>
      <w:r>
        <w:rPr>
          <w:rFonts w:hint="eastAsia" w:ascii="宋体" w:hAnsi="宋体" w:eastAsia="宋体" w:cs="宋体"/>
          <w:color w:val="auto"/>
          <w:sz w:val="24"/>
          <w:szCs w:val="24"/>
          <w:highlight w:val="none"/>
        </w:rPr>
        <w:t>与支付</w:t>
      </w:r>
    </w:p>
    <w:p w14:paraId="43B6B99F">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1、采购人应当在项目完成且收到供应商验收申请后 5 个工作日内组织开展履约验收。</w:t>
      </w:r>
    </w:p>
    <w:p w14:paraId="7B1C0C7C">
      <w:pPr>
        <w:spacing w:line="5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14:paraId="38D93C50">
      <w:pPr>
        <w:pStyle w:val="2"/>
        <w:rPr>
          <w:rFonts w:ascii="宋体" w:hAnsi="宋体"/>
          <w:color w:val="auto"/>
          <w:szCs w:val="24"/>
          <w:highlight w:val="none"/>
        </w:rPr>
      </w:pPr>
      <w:r>
        <w:rPr>
          <w:rFonts w:hint="eastAsia" w:ascii="宋体" w:hAnsi="宋体"/>
          <w:color w:val="auto"/>
          <w:sz w:val="24"/>
          <w:szCs w:val="24"/>
          <w:highlight w:val="none"/>
        </w:rPr>
        <w:t>3、</w:t>
      </w:r>
      <w:r>
        <w:rPr>
          <w:rFonts w:hint="eastAsia"/>
          <w:color w:val="auto"/>
          <w:highlight w:val="none"/>
        </w:rPr>
        <w:t>对于符合支付条件的项目，应</w:t>
      </w:r>
      <w:r>
        <w:rPr>
          <w:rFonts w:hint="eastAsia" w:ascii="宋体" w:hAnsi="宋体"/>
          <w:color w:val="auto"/>
          <w:szCs w:val="24"/>
          <w:highlight w:val="none"/>
        </w:rPr>
        <w:t>在收到发票后7个工作日内将资金支付到合同约定的供应商账户，不得以进行审计作为支付供应商款项的条件。采购人不得以机构变动、人员更替、政策调整、履行内部付款流程等为由延迟付款。</w:t>
      </w:r>
    </w:p>
    <w:p w14:paraId="5F0A0B81">
      <w:pPr>
        <w:pStyle w:val="5"/>
        <w:spacing w:before="0" w:after="0" w:line="520" w:lineRule="exact"/>
        <w:jc w:val="center"/>
        <w:rPr>
          <w:rFonts w:ascii="宋体" w:hAnsi="宋体" w:eastAsia="宋体" w:cs="宋体"/>
          <w:color w:val="auto"/>
          <w:sz w:val="24"/>
          <w:szCs w:val="24"/>
          <w:highlight w:val="none"/>
        </w:rPr>
      </w:pPr>
      <w:bookmarkStart w:id="33" w:name="_Toc28436"/>
      <w:r>
        <w:rPr>
          <w:rFonts w:hint="eastAsia" w:ascii="宋体" w:hAnsi="宋体" w:eastAsia="宋体" w:cs="宋体"/>
          <w:color w:val="auto"/>
          <w:sz w:val="24"/>
          <w:szCs w:val="24"/>
          <w:highlight w:val="none"/>
        </w:rPr>
        <w:t>（十一）质疑</w:t>
      </w:r>
      <w:bookmarkEnd w:id="33"/>
    </w:p>
    <w:p w14:paraId="1F12EC98">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1、质疑人认为磋商结果使自己的权益受到损害的，可以向采购人提出质疑。质疑实行实名制，应当有具体的事项及根据，不得进行虚假、恶意质疑，扰乱公共资源交易活动的正常工作秩序。</w:t>
      </w:r>
    </w:p>
    <w:p w14:paraId="3AE87511">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 xml:space="preserve">2、质疑应在规定时限内提出： </w:t>
      </w:r>
    </w:p>
    <w:p w14:paraId="110469F6">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对政府采购中标结果的质疑，应在中标结果公布之日起七个工作日内提出。</w:t>
      </w:r>
    </w:p>
    <w:p w14:paraId="5C7A7BEF">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3、质疑应以书面形式实名提出，书面质疑材料应当包括以下内容：</w:t>
      </w:r>
    </w:p>
    <w:p w14:paraId="48DE0ED4">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3.1质疑人的名称、地址、有效联系方式；</w:t>
      </w:r>
    </w:p>
    <w:p w14:paraId="05BCB52F">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3.2项目名称、项目编号、包别号（如有）；</w:t>
      </w:r>
    </w:p>
    <w:p w14:paraId="40A0EE76">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3.3被质疑人名称；</w:t>
      </w:r>
    </w:p>
    <w:p w14:paraId="045855EC">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3.4具体的质疑事项、基本事实及必要的证明材料；</w:t>
      </w:r>
    </w:p>
    <w:p w14:paraId="4153C361">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3.5明确的请求及主张；</w:t>
      </w:r>
    </w:p>
    <w:p w14:paraId="1A0C5013">
      <w:pPr>
        <w:widowControl/>
        <w:spacing w:line="52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3.6提起质疑的日期。</w:t>
      </w:r>
    </w:p>
    <w:p w14:paraId="08A8C1A2">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质疑人为法人或者其他组织的，应当由法定代表人或其委托代理人（需有委托授权书）签字并加盖公章。</w:t>
      </w:r>
    </w:p>
    <w:p w14:paraId="365858FE">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质疑人需要修改、补充质疑材料的，应当在质疑期内提交修改或补充材料。</w:t>
      </w:r>
    </w:p>
    <w:p w14:paraId="0893E875">
      <w:pPr>
        <w:spacing w:line="52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4、有下列情形之一的，不予受理：</w:t>
      </w:r>
    </w:p>
    <w:p w14:paraId="4844C66F">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4.1提起质疑的主体不是参与该政府采购项目活动的供应商；</w:t>
      </w:r>
    </w:p>
    <w:p w14:paraId="26C89AC5">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4.2提起质疑的时间超过规定时限的；</w:t>
      </w:r>
    </w:p>
    <w:p w14:paraId="16F7181C">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4.3质疑材料不完整的；</w:t>
      </w:r>
    </w:p>
    <w:p w14:paraId="704263C1">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4.4质疑事项含有主观猜测等内容且未提供有效线索、难以查证的；</w:t>
      </w:r>
    </w:p>
    <w:p w14:paraId="327FC4AF">
      <w:pPr>
        <w:widowControl/>
        <w:spacing w:line="520" w:lineRule="exact"/>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4.5对其他投标供应商的投标文件详细内容质疑，无法提供合法来源渠道的；</w:t>
      </w:r>
    </w:p>
    <w:p w14:paraId="4EB5DCB6">
      <w:pPr>
        <w:widowControl/>
        <w:spacing w:line="520" w:lineRule="exact"/>
        <w:ind w:firstLine="480" w:firstLineChars="200"/>
        <w:jc w:val="left"/>
        <w:rPr>
          <w:rFonts w:ascii="仿宋_GB2312" w:hAnsi="宋体" w:eastAsia="仿宋_GB2312" w:cs="宋体"/>
          <w:color w:val="auto"/>
          <w:kern w:val="0"/>
          <w:sz w:val="24"/>
          <w:szCs w:val="24"/>
          <w:highlight w:val="none"/>
        </w:rPr>
      </w:pPr>
      <w:r>
        <w:rPr>
          <w:rFonts w:hint="eastAsia" w:ascii="宋体" w:hAnsi="宋体" w:cs="宋体"/>
          <w:color w:val="auto"/>
          <w:kern w:val="0"/>
          <w:sz w:val="24"/>
          <w:szCs w:val="24"/>
          <w:highlight w:val="none"/>
        </w:rPr>
        <w:t>4.6质疑事项已进入投诉处理、行政复议或行政诉讼程序的。</w:t>
      </w:r>
    </w:p>
    <w:p w14:paraId="0B69E365">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5、经审查符合质疑条件的，自收到质疑之日起即为受理。采购人将在质疑受理后7个工作日内作出答复或相关处理决定，并以书面形式通知质疑人，答复的内容不得涉及商业秘密。</w:t>
      </w:r>
    </w:p>
    <w:p w14:paraId="419303E0">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6、质疑人在答复期满前撤回质疑的，应由法定代表人或授权代表人签字确认，即终止质疑处理程序。质疑人不得以同一理由再次提出质疑。</w:t>
      </w:r>
    </w:p>
    <w:p w14:paraId="000DBFAE">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质疑人对质疑答复不满意或采购人未在规定时间内做出答复的，可以在规定期限内向监督管理局提起投诉。</w:t>
      </w:r>
    </w:p>
    <w:p w14:paraId="4A220A7D">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质疑人应在答复期满后十五个工作日内提起投诉。</w:t>
      </w:r>
    </w:p>
    <w:p w14:paraId="7A998C56">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7、质疑人有下列情形之一的，属于虚假、恶意质疑，将报监督管理局予以处理。</w:t>
      </w:r>
    </w:p>
    <w:p w14:paraId="34F422B8">
      <w:pPr>
        <w:spacing w:line="520" w:lineRule="exact"/>
        <w:ind w:firstLine="480" w:firstLineChars="200"/>
        <w:rPr>
          <w:rFonts w:ascii="宋体" w:hAnsi="宋体"/>
          <w:bCs/>
          <w:color w:val="auto"/>
          <w:sz w:val="24"/>
          <w:highlight w:val="none"/>
        </w:rPr>
      </w:pPr>
      <w:r>
        <w:rPr>
          <w:rFonts w:hint="eastAsia" w:ascii="宋体" w:hAnsi="宋体"/>
          <w:bCs/>
          <w:color w:val="auto"/>
          <w:sz w:val="24"/>
          <w:highlight w:val="none"/>
        </w:rPr>
        <w:t>7.1一年内三次以上质疑均查无实据的；</w:t>
      </w:r>
    </w:p>
    <w:p w14:paraId="5E592BD9">
      <w:pPr>
        <w:spacing w:line="520" w:lineRule="exact"/>
        <w:ind w:firstLine="480" w:firstLineChars="200"/>
        <w:rPr>
          <w:rFonts w:ascii="宋体" w:hAnsi="宋体"/>
          <w:color w:val="auto"/>
          <w:sz w:val="24"/>
          <w:highlight w:val="none"/>
        </w:rPr>
      </w:pPr>
      <w:r>
        <w:rPr>
          <w:rFonts w:hint="eastAsia" w:ascii="宋体" w:hAnsi="宋体"/>
          <w:bCs/>
          <w:color w:val="auto"/>
          <w:sz w:val="24"/>
          <w:highlight w:val="none"/>
        </w:rPr>
        <w:t>7.2捏造事实恶意诬陷他人、有意提供虚假质疑材料的</w:t>
      </w:r>
      <w:r>
        <w:rPr>
          <w:rFonts w:hint="eastAsia" w:ascii="宋体" w:hAnsi="宋体"/>
          <w:color w:val="auto"/>
          <w:sz w:val="24"/>
          <w:highlight w:val="none"/>
        </w:rPr>
        <w:t>或者通过非法手段获取材料的。</w:t>
      </w:r>
      <w:bookmarkStart w:id="34" w:name="_Toc216158630"/>
    </w:p>
    <w:p w14:paraId="441EF9EE">
      <w:pPr>
        <w:pStyle w:val="2"/>
        <w:rPr>
          <w:rFonts w:ascii="宋体" w:hAnsi="宋体"/>
          <w:color w:val="auto"/>
          <w:highlight w:val="none"/>
        </w:rPr>
      </w:pPr>
    </w:p>
    <w:p w14:paraId="0DA0F82C">
      <w:pPr>
        <w:pStyle w:val="2"/>
        <w:ind w:left="0" w:leftChars="0" w:firstLine="0" w:firstLineChars="0"/>
        <w:rPr>
          <w:rFonts w:ascii="宋体" w:hAnsi="宋体"/>
          <w:color w:val="auto"/>
          <w:highlight w:val="none"/>
        </w:rPr>
      </w:pPr>
    </w:p>
    <w:p w14:paraId="672133E7">
      <w:pPr>
        <w:pStyle w:val="5"/>
        <w:spacing w:before="0" w:after="0" w:line="560" w:lineRule="exact"/>
        <w:jc w:val="center"/>
        <w:rPr>
          <w:rFonts w:hint="eastAsia" w:ascii="宋体" w:hAnsi="宋体" w:eastAsia="宋体" w:cs="宋体"/>
          <w:color w:val="auto"/>
          <w:sz w:val="28"/>
          <w:szCs w:val="28"/>
          <w:highlight w:val="none"/>
        </w:rPr>
        <w:sectPr>
          <w:footerReference r:id="rId3" w:type="default"/>
          <w:pgSz w:w="11905" w:h="16838"/>
          <w:pgMar w:top="1117" w:right="1769" w:bottom="1230" w:left="1769" w:header="879" w:footer="981" w:gutter="0"/>
          <w:cols w:space="0" w:num="1"/>
          <w:rtlGutter w:val="0"/>
          <w:docGrid w:linePitch="0" w:charSpace="0"/>
        </w:sectPr>
      </w:pPr>
      <w:bookmarkStart w:id="35" w:name="_Toc10852"/>
    </w:p>
    <w:p w14:paraId="284590BE">
      <w:pPr>
        <w:pStyle w:val="5"/>
        <w:spacing w:before="0" w:after="0" w:line="56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二、采购合同</w:t>
      </w:r>
      <w:bookmarkEnd w:id="34"/>
      <w:bookmarkEnd w:id="35"/>
      <w:bookmarkStart w:id="36" w:name="_Toc363199273"/>
    </w:p>
    <w:p w14:paraId="67AB4B18">
      <w:pPr>
        <w:spacing w:before="182" w:line="211" w:lineRule="auto"/>
        <w:jc w:val="center"/>
        <w:rPr>
          <w:color w:val="auto"/>
          <w:highlight w:val="none"/>
        </w:rPr>
      </w:pPr>
    </w:p>
    <w:p w14:paraId="5A9EDE8E">
      <w:pPr>
        <w:jc w:val="center"/>
        <w:rPr>
          <w:b/>
          <w:bCs/>
          <w:color w:val="auto"/>
          <w:sz w:val="24"/>
          <w:szCs w:val="24"/>
          <w:highlight w:val="none"/>
        </w:rPr>
      </w:pPr>
      <w:r>
        <w:rPr>
          <w:rFonts w:hint="eastAsia"/>
          <w:b/>
          <w:bCs/>
          <w:color w:val="auto"/>
          <w:sz w:val="24"/>
          <w:szCs w:val="24"/>
          <w:highlight w:val="none"/>
          <w:lang w:val="en-US" w:eastAsia="zh-CN"/>
        </w:rPr>
        <w:t xml:space="preserve"> </w:t>
      </w:r>
    </w:p>
    <w:p w14:paraId="06B2F9ED">
      <w:pPr>
        <w:rPr>
          <w:color w:val="auto"/>
          <w:highlight w:val="none"/>
        </w:rPr>
      </w:pPr>
    </w:p>
    <w:p w14:paraId="2B31EC8F">
      <w:pPr>
        <w:pStyle w:val="3"/>
        <w:keepNext w:val="0"/>
        <w:keepLines w:val="0"/>
        <w:pageBreakBefore w:val="0"/>
        <w:widowControl/>
        <w:kinsoku w:val="0"/>
        <w:wordWrap/>
        <w:overflowPunct/>
        <w:topLinePunct w:val="0"/>
        <w:autoSpaceDE w:val="0"/>
        <w:autoSpaceDN w:val="0"/>
        <w:bidi w:val="0"/>
        <w:adjustRightInd w:val="0"/>
        <w:snapToGrid w:val="0"/>
        <w:spacing w:after="0" w:line="240" w:lineRule="auto"/>
        <w:ind w:left="0" w:right="0" w:firstLine="0"/>
        <w:jc w:val="center"/>
        <w:textAlignment w:val="baseline"/>
        <w:rPr>
          <w:rFonts w:ascii="微软雅黑" w:hAnsi="微软雅黑" w:eastAsia="微软雅黑" w:cs="微软雅黑"/>
          <w:snapToGrid w:val="0"/>
          <w:color w:val="000000"/>
          <w:spacing w:val="72"/>
          <w:kern w:val="0"/>
          <w:sz w:val="52"/>
          <w:szCs w:val="52"/>
          <w:lang w:eastAsia="en-US"/>
        </w:rPr>
      </w:pPr>
      <w:r>
        <w:rPr>
          <w:rFonts w:ascii="微软雅黑" w:hAnsi="微软雅黑" w:eastAsia="微软雅黑" w:cs="微软雅黑"/>
          <w:snapToGrid w:val="0"/>
          <w:color w:val="000000"/>
          <w:spacing w:val="72"/>
          <w:kern w:val="0"/>
          <w:sz w:val="52"/>
          <w:szCs w:val="52"/>
          <w:lang w:eastAsia="en-US"/>
        </w:rPr>
        <w:t>安徽电力零售市场代理合同示 范 文 本（2026年版）</w:t>
      </w:r>
    </w:p>
    <w:p w14:paraId="5705B9C7">
      <w:pPr>
        <w:spacing w:line="298" w:lineRule="auto"/>
        <w:rPr>
          <w:rFonts w:ascii="Arial"/>
          <w:sz w:val="21"/>
        </w:rPr>
      </w:pPr>
    </w:p>
    <w:p w14:paraId="06DA4539">
      <w:pPr>
        <w:spacing w:line="298" w:lineRule="auto"/>
        <w:rPr>
          <w:rFonts w:ascii="Arial"/>
          <w:sz w:val="21"/>
        </w:rPr>
      </w:pPr>
    </w:p>
    <w:p w14:paraId="3C297102">
      <w:pPr>
        <w:spacing w:line="298" w:lineRule="auto"/>
        <w:rPr>
          <w:rFonts w:ascii="Arial"/>
          <w:sz w:val="21"/>
        </w:rPr>
      </w:pPr>
    </w:p>
    <w:p w14:paraId="483FA358">
      <w:pPr>
        <w:spacing w:line="299" w:lineRule="auto"/>
        <w:rPr>
          <w:rFonts w:ascii="Arial"/>
          <w:sz w:val="21"/>
        </w:rPr>
      </w:pPr>
    </w:p>
    <w:p w14:paraId="3AEAB3C2">
      <w:pPr>
        <w:pStyle w:val="3"/>
        <w:spacing w:before="133" w:line="209" w:lineRule="auto"/>
        <w:ind w:left="44"/>
        <w:rPr>
          <w:spacing w:val="3"/>
          <w:sz w:val="28"/>
          <w:szCs w:val="28"/>
        </w:rPr>
      </w:pPr>
    </w:p>
    <w:p w14:paraId="5B11AABF">
      <w:pPr>
        <w:pStyle w:val="3"/>
        <w:spacing w:before="133" w:line="209" w:lineRule="auto"/>
        <w:ind w:left="44"/>
        <w:rPr>
          <w:spacing w:val="3"/>
          <w:sz w:val="28"/>
          <w:szCs w:val="28"/>
        </w:rPr>
      </w:pPr>
    </w:p>
    <w:p w14:paraId="50A88CDA">
      <w:pPr>
        <w:pStyle w:val="3"/>
        <w:spacing w:before="133" w:line="209" w:lineRule="auto"/>
        <w:ind w:left="44"/>
        <w:rPr>
          <w:spacing w:val="3"/>
          <w:sz w:val="28"/>
          <w:szCs w:val="28"/>
        </w:rPr>
      </w:pPr>
    </w:p>
    <w:p w14:paraId="79336932">
      <w:pPr>
        <w:pStyle w:val="3"/>
        <w:spacing w:before="133" w:line="209" w:lineRule="auto"/>
        <w:ind w:left="44"/>
        <w:rPr>
          <w:spacing w:val="3"/>
          <w:sz w:val="28"/>
          <w:szCs w:val="28"/>
        </w:rPr>
      </w:pPr>
    </w:p>
    <w:p w14:paraId="4280AB70">
      <w:pPr>
        <w:pStyle w:val="3"/>
        <w:spacing w:before="133" w:line="209" w:lineRule="auto"/>
        <w:ind w:left="44"/>
        <w:rPr>
          <w:spacing w:val="3"/>
          <w:sz w:val="28"/>
          <w:szCs w:val="28"/>
        </w:rPr>
      </w:pPr>
    </w:p>
    <w:p w14:paraId="3F4D6023">
      <w:pPr>
        <w:pStyle w:val="3"/>
        <w:spacing w:before="133" w:line="209" w:lineRule="auto"/>
        <w:ind w:left="44"/>
        <w:rPr>
          <w:spacing w:val="3"/>
          <w:sz w:val="28"/>
          <w:szCs w:val="28"/>
        </w:rPr>
      </w:pPr>
    </w:p>
    <w:p w14:paraId="5EA885EE">
      <w:pPr>
        <w:pStyle w:val="3"/>
        <w:spacing w:before="133" w:line="209" w:lineRule="auto"/>
        <w:ind w:left="44"/>
        <w:rPr>
          <w:spacing w:val="3"/>
          <w:sz w:val="28"/>
          <w:szCs w:val="28"/>
        </w:rPr>
      </w:pPr>
    </w:p>
    <w:p w14:paraId="0062BCB6">
      <w:pPr>
        <w:pStyle w:val="3"/>
        <w:spacing w:before="133" w:line="209" w:lineRule="auto"/>
        <w:ind w:left="44"/>
        <w:rPr>
          <w:sz w:val="28"/>
          <w:szCs w:val="28"/>
        </w:rPr>
      </w:pPr>
      <w:r>
        <w:rPr>
          <w:spacing w:val="3"/>
          <w:sz w:val="28"/>
          <w:szCs w:val="28"/>
        </w:rPr>
        <w:t>甲方(电力用户)：</w:t>
      </w:r>
    </w:p>
    <w:p w14:paraId="73C99745">
      <w:pPr>
        <w:pStyle w:val="3"/>
        <w:spacing w:before="165" w:line="173" w:lineRule="auto"/>
        <w:ind w:left="1077"/>
        <w:rPr>
          <w:sz w:val="28"/>
          <w:szCs w:val="28"/>
        </w:rPr>
      </w:pPr>
      <w:r>
        <w:rPr>
          <w:spacing w:val="1"/>
          <w:sz w:val="28"/>
          <w:szCs w:val="28"/>
        </w:rPr>
        <w:t>企业名称</w:t>
      </w:r>
      <w:r>
        <w:rPr>
          <w:spacing w:val="-31"/>
          <w:sz w:val="28"/>
          <w:szCs w:val="28"/>
        </w:rPr>
        <w:t xml:space="preserve"> </w:t>
      </w:r>
      <w:r>
        <w:rPr>
          <w:spacing w:val="1"/>
          <w:sz w:val="28"/>
          <w:szCs w:val="28"/>
        </w:rPr>
        <w:t>：_________________________________</w:t>
      </w:r>
    </w:p>
    <w:p w14:paraId="7ABE2ABF">
      <w:pPr>
        <w:pStyle w:val="3"/>
        <w:spacing w:before="238" w:line="174" w:lineRule="auto"/>
        <w:ind w:left="1082"/>
        <w:rPr>
          <w:sz w:val="28"/>
          <w:szCs w:val="28"/>
        </w:rPr>
      </w:pPr>
      <w:r>
        <w:rPr>
          <w:spacing w:val="3"/>
          <w:sz w:val="28"/>
          <w:szCs w:val="28"/>
        </w:rPr>
        <w:t>统一社会信用代码：________________________</w:t>
      </w:r>
    </w:p>
    <w:p w14:paraId="5C0FAC1D">
      <w:pPr>
        <w:pStyle w:val="3"/>
        <w:spacing w:before="240" w:line="173" w:lineRule="auto"/>
        <w:ind w:left="1078"/>
        <w:rPr>
          <w:sz w:val="28"/>
          <w:szCs w:val="28"/>
        </w:rPr>
      </w:pPr>
      <w:r>
        <w:rPr>
          <w:spacing w:val="2"/>
          <w:sz w:val="28"/>
          <w:szCs w:val="28"/>
        </w:rPr>
        <w:t>法定代表人：______________________</w:t>
      </w:r>
      <w:r>
        <w:rPr>
          <w:spacing w:val="1"/>
          <w:sz w:val="28"/>
          <w:szCs w:val="28"/>
        </w:rPr>
        <w:t>_________</w:t>
      </w:r>
    </w:p>
    <w:p w14:paraId="1DB1A05C">
      <w:pPr>
        <w:rPr>
          <w:rFonts w:ascii="Arial"/>
          <w:sz w:val="28"/>
          <w:szCs w:val="28"/>
        </w:rPr>
      </w:pPr>
    </w:p>
    <w:p w14:paraId="4305B060">
      <w:pPr>
        <w:spacing w:line="241" w:lineRule="auto"/>
        <w:rPr>
          <w:rFonts w:ascii="Arial"/>
          <w:sz w:val="28"/>
          <w:szCs w:val="28"/>
        </w:rPr>
      </w:pPr>
    </w:p>
    <w:p w14:paraId="5EF23FE9">
      <w:pPr>
        <w:spacing w:line="241" w:lineRule="auto"/>
        <w:rPr>
          <w:rFonts w:ascii="Arial"/>
          <w:sz w:val="28"/>
          <w:szCs w:val="28"/>
        </w:rPr>
      </w:pPr>
    </w:p>
    <w:p w14:paraId="5D397EF5">
      <w:pPr>
        <w:pStyle w:val="3"/>
        <w:spacing w:before="133" w:line="209" w:lineRule="auto"/>
        <w:ind w:left="36"/>
        <w:rPr>
          <w:sz w:val="28"/>
          <w:szCs w:val="28"/>
        </w:rPr>
      </w:pPr>
      <w:r>
        <w:rPr>
          <w:spacing w:val="4"/>
          <w:sz w:val="28"/>
          <w:szCs w:val="28"/>
        </w:rPr>
        <w:t>乙方(售电公司)：</w:t>
      </w:r>
    </w:p>
    <w:p w14:paraId="53833D52">
      <w:pPr>
        <w:pStyle w:val="3"/>
        <w:spacing w:before="166" w:line="173" w:lineRule="auto"/>
        <w:ind w:left="1077"/>
        <w:rPr>
          <w:sz w:val="28"/>
          <w:szCs w:val="28"/>
        </w:rPr>
      </w:pPr>
      <w:r>
        <w:rPr>
          <w:spacing w:val="1"/>
          <w:sz w:val="28"/>
          <w:szCs w:val="28"/>
        </w:rPr>
        <w:t>企业名称</w:t>
      </w:r>
      <w:r>
        <w:rPr>
          <w:spacing w:val="-31"/>
          <w:sz w:val="28"/>
          <w:szCs w:val="28"/>
        </w:rPr>
        <w:t xml:space="preserve"> </w:t>
      </w:r>
      <w:r>
        <w:rPr>
          <w:spacing w:val="1"/>
          <w:sz w:val="28"/>
          <w:szCs w:val="28"/>
        </w:rPr>
        <w:t>：_________________________________</w:t>
      </w:r>
    </w:p>
    <w:p w14:paraId="51E004BB">
      <w:pPr>
        <w:pStyle w:val="3"/>
        <w:spacing w:before="238" w:line="174" w:lineRule="auto"/>
        <w:ind w:left="1082"/>
        <w:rPr>
          <w:sz w:val="28"/>
          <w:szCs w:val="28"/>
        </w:rPr>
      </w:pPr>
      <w:r>
        <w:rPr>
          <w:spacing w:val="3"/>
          <w:sz w:val="28"/>
          <w:szCs w:val="28"/>
        </w:rPr>
        <w:t>统一社会信用代码：________________________</w:t>
      </w:r>
    </w:p>
    <w:p w14:paraId="40892CCF">
      <w:pPr>
        <w:pStyle w:val="3"/>
        <w:spacing w:before="241" w:line="173" w:lineRule="auto"/>
        <w:ind w:left="1078"/>
        <w:rPr>
          <w:sz w:val="28"/>
          <w:szCs w:val="28"/>
        </w:rPr>
      </w:pPr>
      <w:r>
        <w:rPr>
          <w:spacing w:val="2"/>
          <w:sz w:val="28"/>
          <w:szCs w:val="28"/>
        </w:rPr>
        <w:t>法定代表人：______________________</w:t>
      </w:r>
      <w:r>
        <w:rPr>
          <w:spacing w:val="1"/>
          <w:sz w:val="28"/>
          <w:szCs w:val="28"/>
        </w:rPr>
        <w:t>_________</w:t>
      </w:r>
    </w:p>
    <w:p w14:paraId="7AC47377">
      <w:pPr>
        <w:spacing w:line="341" w:lineRule="auto"/>
        <w:rPr>
          <w:rFonts w:ascii="Arial"/>
          <w:sz w:val="28"/>
          <w:szCs w:val="28"/>
        </w:rPr>
      </w:pPr>
    </w:p>
    <w:p w14:paraId="68EF734E">
      <w:pPr>
        <w:spacing w:line="341" w:lineRule="auto"/>
        <w:rPr>
          <w:rFonts w:ascii="Arial"/>
          <w:sz w:val="21"/>
        </w:rPr>
      </w:pPr>
    </w:p>
    <w:p w14:paraId="75EAD191">
      <w:pPr>
        <w:spacing w:before="101" w:line="218" w:lineRule="auto"/>
        <w:ind w:left="2807"/>
        <w:rPr>
          <w:rFonts w:ascii="黑体" w:hAnsi="黑体" w:eastAsia="黑体" w:cs="黑体"/>
          <w:sz w:val="31"/>
          <w:szCs w:val="31"/>
        </w:rPr>
      </w:pPr>
      <w:r>
        <w:rPr>
          <w:rFonts w:ascii="黑体" w:hAnsi="黑体" w:eastAsia="黑体" w:cs="黑体"/>
          <w:spacing w:val="7"/>
          <w:sz w:val="31"/>
          <w:szCs w:val="31"/>
        </w:rPr>
        <w:t>_______年______月</w:t>
      </w:r>
    </w:p>
    <w:p w14:paraId="57134CE9">
      <w:pPr>
        <w:spacing w:line="218" w:lineRule="auto"/>
        <w:rPr>
          <w:rFonts w:ascii="黑体" w:hAnsi="黑体" w:eastAsia="黑体" w:cs="黑体"/>
          <w:sz w:val="31"/>
          <w:szCs w:val="31"/>
        </w:rPr>
        <w:sectPr>
          <w:pgSz w:w="11906" w:h="16839"/>
          <w:pgMar w:top="1431" w:right="1785" w:bottom="0" w:left="1785" w:header="0" w:footer="0" w:gutter="0"/>
          <w:cols w:space="720" w:num="1"/>
        </w:sectPr>
      </w:pPr>
    </w:p>
    <w:p w14:paraId="2C807313">
      <w:pPr>
        <w:spacing w:before="113" w:line="222" w:lineRule="auto"/>
        <w:ind w:firstLine="2548" w:firstLineChars="700"/>
        <w:outlineLvl w:val="0"/>
        <w:rPr>
          <w:rFonts w:ascii="黑体" w:hAnsi="黑体" w:eastAsia="黑体" w:cs="黑体"/>
          <w:sz w:val="35"/>
          <w:szCs w:val="35"/>
        </w:rPr>
      </w:pPr>
      <w:r>
        <w:rPr>
          <w:rFonts w:ascii="黑体" w:hAnsi="黑体" w:eastAsia="黑体" w:cs="黑体"/>
          <w:spacing w:val="7"/>
          <w:sz w:val="35"/>
          <w:szCs w:val="35"/>
        </w:rPr>
        <w:t>合同使用说明</w:t>
      </w:r>
    </w:p>
    <w:p w14:paraId="78D58664">
      <w:pPr>
        <w:spacing w:before="219" w:line="356" w:lineRule="auto"/>
        <w:ind w:left="36" w:right="13" w:firstLine="644"/>
        <w:rPr>
          <w:rFonts w:ascii="仿宋" w:hAnsi="仿宋" w:eastAsia="仿宋" w:cs="仿宋"/>
          <w:spacing w:val="3"/>
          <w:sz w:val="31"/>
          <w:szCs w:val="31"/>
        </w:rPr>
      </w:pPr>
      <w:r>
        <w:rPr>
          <w:rFonts w:ascii="仿宋" w:hAnsi="仿宋" w:eastAsia="仿宋" w:cs="仿宋"/>
          <w:spacing w:val="9"/>
          <w:sz w:val="31"/>
          <w:szCs w:val="31"/>
        </w:rPr>
        <w:t>一、本合同通过电力交易平台（包括“e-交</w:t>
      </w:r>
      <w:r>
        <w:rPr>
          <w:rFonts w:ascii="仿宋" w:hAnsi="仿宋" w:eastAsia="仿宋" w:cs="仿宋"/>
          <w:spacing w:val="8"/>
          <w:sz w:val="31"/>
          <w:szCs w:val="31"/>
        </w:rPr>
        <w:t>易</w:t>
      </w:r>
      <w:r>
        <w:rPr>
          <w:rFonts w:ascii="仿宋" w:hAnsi="仿宋" w:eastAsia="仿宋" w:cs="仿宋"/>
          <w:spacing w:val="-110"/>
          <w:sz w:val="31"/>
          <w:szCs w:val="31"/>
        </w:rPr>
        <w:t xml:space="preserve"> </w:t>
      </w:r>
      <w:r>
        <w:rPr>
          <w:rFonts w:ascii="仿宋" w:hAnsi="仿宋" w:eastAsia="仿宋" w:cs="仿宋"/>
          <w:spacing w:val="8"/>
          <w:sz w:val="31"/>
          <w:szCs w:val="31"/>
        </w:rPr>
        <w:t>”</w:t>
      </w:r>
      <w:r>
        <w:rPr>
          <w:rFonts w:ascii="仿宋" w:hAnsi="仿宋" w:eastAsia="仿宋" w:cs="仿宋"/>
          <w:sz w:val="31"/>
          <w:szCs w:val="31"/>
        </w:rPr>
        <w:t>APP</w:t>
      </w:r>
      <w:r>
        <w:rPr>
          <w:rFonts w:ascii="仿宋" w:hAnsi="仿宋" w:eastAsia="仿宋" w:cs="仿宋"/>
          <w:spacing w:val="-54"/>
          <w:sz w:val="31"/>
          <w:szCs w:val="31"/>
        </w:rPr>
        <w:t xml:space="preserve"> </w:t>
      </w:r>
      <w:r>
        <w:rPr>
          <w:rFonts w:ascii="仿宋" w:hAnsi="仿宋" w:eastAsia="仿宋" w:cs="仿宋"/>
          <w:spacing w:val="8"/>
          <w:sz w:val="31"/>
          <w:szCs w:val="31"/>
        </w:rPr>
        <w:t>和安徽电力交易平台等软件、系统等，下同）提供，参加安徽</w:t>
      </w:r>
      <w:r>
        <w:rPr>
          <w:rFonts w:ascii="仿宋" w:hAnsi="仿宋" w:eastAsia="仿宋" w:cs="仿宋"/>
          <w:spacing w:val="21"/>
          <w:sz w:val="31"/>
          <w:szCs w:val="31"/>
        </w:rPr>
        <w:t>电力市场交易的售电公司与二级用户应按照本合同示范文</w:t>
      </w:r>
      <w:r>
        <w:rPr>
          <w:rFonts w:ascii="仿宋" w:hAnsi="仿宋" w:eastAsia="仿宋" w:cs="仿宋"/>
          <w:spacing w:val="6"/>
          <w:sz w:val="31"/>
          <w:szCs w:val="31"/>
        </w:rPr>
        <w:t>本建立零售服务关系，并依据合同约定严格履约。</w:t>
      </w:r>
      <w:r>
        <w:rPr>
          <w:rFonts w:ascii="仿宋" w:hAnsi="仿宋" w:eastAsia="仿宋" w:cs="仿宋"/>
          <w:spacing w:val="-91"/>
          <w:sz w:val="31"/>
          <w:szCs w:val="31"/>
        </w:rPr>
        <w:t xml:space="preserve"> </w:t>
      </w:r>
      <w:r>
        <w:rPr>
          <w:rFonts w:ascii="仿宋" w:hAnsi="仿宋" w:eastAsia="仿宋" w:cs="仿宋"/>
          <w:spacing w:val="6"/>
          <w:sz w:val="31"/>
          <w:szCs w:val="31"/>
        </w:rPr>
        <w:t>甲乙双方</w:t>
      </w:r>
      <w:r>
        <w:rPr>
          <w:rFonts w:ascii="仿宋" w:hAnsi="仿宋" w:eastAsia="仿宋" w:cs="仿宋"/>
          <w:spacing w:val="8"/>
          <w:sz w:val="31"/>
          <w:szCs w:val="31"/>
        </w:rPr>
        <w:t>需按照有关规定及时完成法人实名认证等业务办理，妥善保管自身注册账号密码、手机短信验证码、工商营业执照、数字证书等重要信息且勿向他人泄露。依据安徽省零售市场有关规定，二级用户在同一时期内，只能与一家售电公司签订</w:t>
      </w:r>
      <w:r>
        <w:rPr>
          <w:rFonts w:ascii="仿宋" w:hAnsi="仿宋" w:eastAsia="仿宋" w:cs="仿宋"/>
          <w:spacing w:val="3"/>
          <w:sz w:val="31"/>
          <w:szCs w:val="31"/>
        </w:rPr>
        <w:t>代理合同。</w:t>
      </w:r>
    </w:p>
    <w:p w14:paraId="568707CD">
      <w:pPr>
        <w:spacing w:before="219" w:line="356" w:lineRule="auto"/>
        <w:ind w:left="36" w:right="13" w:firstLine="644"/>
        <w:rPr>
          <w:rFonts w:ascii="仿宋" w:hAnsi="仿宋" w:eastAsia="仿宋" w:cs="仿宋"/>
          <w:sz w:val="31"/>
          <w:szCs w:val="31"/>
        </w:rPr>
      </w:pPr>
      <w:r>
        <w:rPr>
          <w:rFonts w:ascii="仿宋" w:hAnsi="仿宋" w:eastAsia="仿宋" w:cs="仿宋"/>
          <w:spacing w:val="5"/>
          <w:sz w:val="31"/>
          <w:szCs w:val="31"/>
        </w:rPr>
        <w:t>二、本合同（含附件，下同）</w:t>
      </w:r>
      <w:r>
        <w:rPr>
          <w:rFonts w:ascii="仿宋" w:hAnsi="仿宋" w:eastAsia="仿宋" w:cs="仿宋"/>
          <w:spacing w:val="-82"/>
          <w:sz w:val="31"/>
          <w:szCs w:val="31"/>
        </w:rPr>
        <w:t xml:space="preserve"> </w:t>
      </w:r>
      <w:r>
        <w:rPr>
          <w:rFonts w:ascii="仿宋" w:hAnsi="仿宋" w:eastAsia="仿宋" w:cs="仿宋"/>
          <w:spacing w:val="5"/>
          <w:sz w:val="31"/>
          <w:szCs w:val="31"/>
        </w:rPr>
        <w:t>由甲乙双方在电力交易平</w:t>
      </w:r>
      <w:r>
        <w:rPr>
          <w:rFonts w:ascii="仿宋" w:hAnsi="仿宋" w:eastAsia="仿宋" w:cs="仿宋"/>
          <w:spacing w:val="8"/>
          <w:sz w:val="31"/>
          <w:szCs w:val="31"/>
        </w:rPr>
        <w:t>台确定有关内容，同时由双方法定代表人或授权代理人亲自</w:t>
      </w:r>
      <w:r>
        <w:rPr>
          <w:rFonts w:ascii="仿宋" w:hAnsi="仿宋" w:eastAsia="仿宋" w:cs="仿宋"/>
          <w:spacing w:val="6"/>
          <w:sz w:val="31"/>
          <w:szCs w:val="31"/>
        </w:rPr>
        <w:t>签署纸质合同并加盖公章（或合同专用章,下同）</w:t>
      </w:r>
      <w:r>
        <w:rPr>
          <w:rFonts w:ascii="仿宋" w:hAnsi="仿宋" w:eastAsia="仿宋" w:cs="仿宋"/>
          <w:spacing w:val="-78"/>
          <w:sz w:val="31"/>
          <w:szCs w:val="31"/>
        </w:rPr>
        <w:t xml:space="preserve"> </w:t>
      </w:r>
      <w:r>
        <w:rPr>
          <w:rFonts w:ascii="仿宋" w:hAnsi="仿宋" w:eastAsia="仿宋" w:cs="仿宋"/>
          <w:spacing w:val="6"/>
          <w:sz w:val="31"/>
          <w:szCs w:val="31"/>
        </w:rPr>
        <w:t>以及骑缝</w:t>
      </w:r>
      <w:r>
        <w:rPr>
          <w:rFonts w:ascii="仿宋" w:hAnsi="仿宋" w:eastAsia="仿宋" w:cs="仿宋"/>
          <w:spacing w:val="8"/>
          <w:sz w:val="31"/>
          <w:szCs w:val="31"/>
        </w:rPr>
        <w:t>章后扫描上传电力交易平台完成确认，上传的纸质合同需与双方在电力交易平台确定内容一致。对于需要甲方再次确认的有关合同内容，由甲方法定代表人或授权代理人亲自签署纸质确认书并加盖公章后扫描上传电力交易平台完成确认，条件具备时可通过线上方式完成确认。由授权代理人签署的均需同步提供法人授权委托书。本合同签订生效后，具体条款内容均以电力交易平台的线上约定信息为准。甲方法人实名认证完成后，安徽电力交易中心有限公司（简称省电力交易中心，下同）可将合同签订信息、再次确认内容等告知甲</w:t>
      </w:r>
      <w:r>
        <w:rPr>
          <w:rFonts w:ascii="仿宋" w:hAnsi="仿宋" w:eastAsia="仿宋" w:cs="仿宋"/>
          <w:spacing w:val="6"/>
          <w:sz w:val="31"/>
          <w:szCs w:val="31"/>
        </w:rPr>
        <w:t>方法定代表人或授权代理人。</w:t>
      </w:r>
    </w:p>
    <w:p w14:paraId="511C9F25">
      <w:pPr>
        <w:spacing w:before="1" w:line="357" w:lineRule="auto"/>
        <w:ind w:left="34" w:right="13" w:firstLine="650"/>
        <w:rPr>
          <w:rFonts w:ascii="仿宋" w:hAnsi="仿宋" w:eastAsia="仿宋" w:cs="仿宋"/>
          <w:sz w:val="31"/>
          <w:szCs w:val="31"/>
        </w:rPr>
      </w:pPr>
      <w:r>
        <w:rPr>
          <w:rFonts w:ascii="仿宋" w:hAnsi="仿宋" w:eastAsia="仿宋" w:cs="仿宋"/>
          <w:spacing w:val="8"/>
          <w:sz w:val="31"/>
          <w:szCs w:val="31"/>
        </w:rPr>
        <w:t>三、本合同附件为《安徽电力零售市场零售套餐参数汇</w:t>
      </w:r>
      <w:r>
        <w:rPr>
          <w:rFonts w:ascii="仿宋" w:hAnsi="仿宋" w:eastAsia="仿宋" w:cs="仿宋"/>
          <w:spacing w:val="4"/>
          <w:sz w:val="31"/>
          <w:szCs w:val="31"/>
        </w:rPr>
        <w:t>总表（2026</w:t>
      </w:r>
      <w:r>
        <w:rPr>
          <w:rFonts w:ascii="仿宋" w:hAnsi="仿宋" w:eastAsia="仿宋" w:cs="仿宋"/>
          <w:spacing w:val="-45"/>
          <w:sz w:val="31"/>
          <w:szCs w:val="31"/>
        </w:rPr>
        <w:t xml:space="preserve"> </w:t>
      </w:r>
      <w:r>
        <w:rPr>
          <w:rFonts w:ascii="仿宋" w:hAnsi="仿宋" w:eastAsia="仿宋" w:cs="仿宋"/>
          <w:spacing w:val="4"/>
          <w:sz w:val="31"/>
          <w:szCs w:val="31"/>
        </w:rPr>
        <w:t>年版）》，与合同正文具有同等的法律效力，需</w:t>
      </w:r>
      <w:r>
        <w:rPr>
          <w:rFonts w:ascii="仿宋" w:hAnsi="仿宋" w:eastAsia="仿宋" w:cs="仿宋"/>
          <w:spacing w:val="8"/>
          <w:sz w:val="31"/>
          <w:szCs w:val="31"/>
        </w:rPr>
        <w:t>双方法定代表人或授权代理人亲自签署并加盖公章。甲乙双方必须严格遵循合同附件的内容样式，可根据实际情况约定</w:t>
      </w:r>
      <w:r>
        <w:rPr>
          <w:rFonts w:ascii="仿宋" w:hAnsi="仿宋" w:eastAsia="仿宋" w:cs="仿宋"/>
          <w:spacing w:val="5"/>
          <w:sz w:val="31"/>
          <w:szCs w:val="31"/>
        </w:rPr>
        <w:t>售电服务的参数、</w:t>
      </w:r>
      <w:r>
        <w:rPr>
          <w:rFonts w:ascii="仿宋" w:hAnsi="仿宋" w:eastAsia="仿宋" w:cs="仿宋"/>
          <w:spacing w:val="-60"/>
          <w:sz w:val="31"/>
          <w:szCs w:val="31"/>
        </w:rPr>
        <w:t xml:space="preserve"> </w:t>
      </w:r>
      <w:r>
        <w:rPr>
          <w:rFonts w:ascii="仿宋" w:hAnsi="仿宋" w:eastAsia="仿宋" w:cs="仿宋"/>
          <w:spacing w:val="5"/>
          <w:sz w:val="31"/>
          <w:szCs w:val="31"/>
        </w:rPr>
        <w:t>自愿条款等内容，合同其他内容以示范文</w:t>
      </w:r>
      <w:r>
        <w:rPr>
          <w:rFonts w:ascii="仿宋" w:hAnsi="仿宋" w:eastAsia="仿宋" w:cs="仿宋"/>
          <w:spacing w:val="8"/>
          <w:sz w:val="31"/>
          <w:szCs w:val="31"/>
        </w:rPr>
        <w:t>本的内容为准（不得修改、删除本合同及附件的有关文字、</w:t>
      </w:r>
      <w:r>
        <w:rPr>
          <w:rFonts w:ascii="仿宋" w:hAnsi="仿宋" w:eastAsia="仿宋" w:cs="仿宋"/>
          <w:spacing w:val="7"/>
          <w:sz w:val="31"/>
          <w:szCs w:val="31"/>
        </w:rPr>
        <w:t>注释、说明等</w:t>
      </w:r>
      <w:r>
        <w:rPr>
          <w:rFonts w:ascii="仿宋" w:hAnsi="仿宋" w:eastAsia="仿宋" w:cs="仿宋"/>
          <w:spacing w:val="28"/>
          <w:sz w:val="31"/>
          <w:szCs w:val="31"/>
        </w:rPr>
        <w:t>），</w:t>
      </w:r>
      <w:r>
        <w:rPr>
          <w:rFonts w:ascii="仿宋" w:hAnsi="仿宋" w:eastAsia="仿宋" w:cs="仿宋"/>
          <w:spacing w:val="7"/>
          <w:sz w:val="31"/>
          <w:szCs w:val="31"/>
        </w:rPr>
        <w:t>若有私自修改、删除则均属于无效约定，</w:t>
      </w:r>
      <w:r>
        <w:rPr>
          <w:rFonts w:ascii="仿宋" w:hAnsi="仿宋" w:eastAsia="仿宋" w:cs="仿宋"/>
          <w:spacing w:val="8"/>
          <w:sz w:val="31"/>
          <w:szCs w:val="31"/>
        </w:rPr>
        <w:t>国家与省内政策规则有新规的从其规定。对于零售套餐价格参数、结算价格超过提示阈值的，省电力交易中心可对甲方</w:t>
      </w:r>
      <w:r>
        <w:rPr>
          <w:rFonts w:ascii="仿宋" w:hAnsi="仿宋" w:eastAsia="仿宋" w:cs="仿宋"/>
          <w:spacing w:val="6"/>
          <w:sz w:val="31"/>
          <w:szCs w:val="31"/>
        </w:rPr>
        <w:t>进行市场风险提示。</w:t>
      </w:r>
    </w:p>
    <w:p w14:paraId="5B5126C2">
      <w:pPr>
        <w:spacing w:before="242" w:line="343" w:lineRule="auto"/>
        <w:ind w:left="36" w:right="16" w:firstLine="677"/>
        <w:rPr>
          <w:rFonts w:ascii="仿宋" w:hAnsi="仿宋" w:eastAsia="仿宋" w:cs="仿宋"/>
          <w:sz w:val="31"/>
          <w:szCs w:val="31"/>
        </w:rPr>
      </w:pPr>
      <w:r>
        <w:rPr>
          <w:rFonts w:ascii="仿宋" w:hAnsi="仿宋" w:eastAsia="仿宋" w:cs="仿宋"/>
          <w:spacing w:val="6"/>
          <w:sz w:val="31"/>
          <w:szCs w:val="31"/>
        </w:rPr>
        <w:t>四、本合同约定的电价(含税，下同)仅为电能量价格、</w:t>
      </w:r>
      <w:r>
        <w:rPr>
          <w:rFonts w:ascii="仿宋" w:hAnsi="仿宋" w:eastAsia="仿宋" w:cs="仿宋"/>
          <w:spacing w:val="8"/>
          <w:sz w:val="31"/>
          <w:szCs w:val="31"/>
        </w:rPr>
        <w:t>绿色电力环境价值，不含设备运维、能效管理等非市场购售电业务类的增值服务费用。鼓励乙方为甲方提供非市场购售电业务类的增值服务，双方可另行协商签订有关合同，不在</w:t>
      </w:r>
      <w:r>
        <w:rPr>
          <w:rFonts w:ascii="仿宋" w:hAnsi="仿宋" w:eastAsia="仿宋" w:cs="仿宋"/>
          <w:spacing w:val="5"/>
          <w:sz w:val="31"/>
          <w:szCs w:val="31"/>
        </w:rPr>
        <w:t>本合同中体现。</w:t>
      </w:r>
    </w:p>
    <w:p w14:paraId="5A50AF5E">
      <w:pPr>
        <w:spacing w:before="237" w:line="343" w:lineRule="auto"/>
        <w:ind w:left="37" w:right="16" w:firstLine="643"/>
        <w:rPr>
          <w:rFonts w:ascii="仿宋" w:hAnsi="仿宋" w:eastAsia="仿宋" w:cs="仿宋"/>
          <w:sz w:val="31"/>
          <w:szCs w:val="31"/>
        </w:rPr>
        <w:sectPr>
          <w:footerReference r:id="rId4" w:type="default"/>
          <w:pgSz w:w="11906" w:h="16839"/>
          <w:pgMar w:top="1431" w:right="1785" w:bottom="1427" w:left="1785" w:header="0" w:footer="1150" w:gutter="0"/>
          <w:cols w:space="720" w:num="1"/>
        </w:sectPr>
      </w:pPr>
      <w:r>
        <w:rPr>
          <w:rFonts w:ascii="仿宋" w:hAnsi="仿宋" w:eastAsia="仿宋" w:cs="仿宋"/>
          <w:spacing w:val="8"/>
          <w:sz w:val="31"/>
          <w:szCs w:val="31"/>
        </w:rPr>
        <w:t>五、根据《安徽省发展改革委安徽省能源局关于调整我</w:t>
      </w:r>
      <w:r>
        <w:rPr>
          <w:rFonts w:ascii="仿宋" w:hAnsi="仿宋" w:eastAsia="仿宋" w:cs="仿宋"/>
          <w:spacing w:val="6"/>
          <w:sz w:val="31"/>
          <w:szCs w:val="31"/>
        </w:rPr>
        <w:t>省煤电容量电价的通知》（皖发改价格函〔2025〕335</w:t>
      </w:r>
      <w:r>
        <w:rPr>
          <w:rFonts w:ascii="仿宋" w:hAnsi="仿宋" w:eastAsia="仿宋" w:cs="仿宋"/>
          <w:spacing w:val="-46"/>
          <w:sz w:val="31"/>
          <w:szCs w:val="31"/>
        </w:rPr>
        <w:t xml:space="preserve"> </w:t>
      </w:r>
      <w:r>
        <w:rPr>
          <w:rFonts w:ascii="仿宋" w:hAnsi="仿宋" w:eastAsia="仿宋" w:cs="仿宋"/>
          <w:spacing w:val="6"/>
          <w:sz w:val="31"/>
          <w:szCs w:val="31"/>
        </w:rPr>
        <w:t>号）</w:t>
      </w:r>
      <w:r>
        <w:rPr>
          <w:rFonts w:ascii="仿宋" w:hAnsi="仿宋" w:eastAsia="仿宋" w:cs="仿宋"/>
          <w:spacing w:val="-4"/>
          <w:sz w:val="31"/>
          <w:szCs w:val="31"/>
        </w:rPr>
        <w:t>等文件要求，</w:t>
      </w:r>
      <w:r>
        <w:rPr>
          <w:rFonts w:ascii="仿宋" w:hAnsi="仿宋" w:eastAsia="仿宋" w:cs="仿宋"/>
          <w:spacing w:val="-56"/>
          <w:sz w:val="31"/>
          <w:szCs w:val="31"/>
        </w:rPr>
        <w:t xml:space="preserve"> </w:t>
      </w:r>
      <w:r>
        <w:rPr>
          <w:rFonts w:ascii="仿宋" w:hAnsi="仿宋" w:eastAsia="仿宋" w:cs="仿宋"/>
          <w:spacing w:val="-4"/>
          <w:sz w:val="31"/>
          <w:szCs w:val="31"/>
        </w:rPr>
        <w:t>自</w:t>
      </w:r>
      <w:r>
        <w:rPr>
          <w:rFonts w:ascii="仿宋" w:hAnsi="仿宋" w:eastAsia="仿宋" w:cs="仿宋"/>
          <w:spacing w:val="-58"/>
          <w:sz w:val="31"/>
          <w:szCs w:val="31"/>
        </w:rPr>
        <w:t xml:space="preserve"> </w:t>
      </w:r>
      <w:r>
        <w:rPr>
          <w:rFonts w:ascii="仿宋" w:hAnsi="仿宋" w:eastAsia="仿宋" w:cs="仿宋"/>
          <w:spacing w:val="-4"/>
          <w:sz w:val="31"/>
          <w:szCs w:val="31"/>
        </w:rPr>
        <w:t>2026</w:t>
      </w:r>
      <w:r>
        <w:rPr>
          <w:rFonts w:ascii="仿宋" w:hAnsi="仿宋" w:eastAsia="仿宋" w:cs="仿宋"/>
          <w:spacing w:val="-47"/>
          <w:sz w:val="31"/>
          <w:szCs w:val="31"/>
        </w:rPr>
        <w:t xml:space="preserve"> </w:t>
      </w:r>
      <w:r>
        <w:rPr>
          <w:rFonts w:ascii="仿宋" w:hAnsi="仿宋" w:eastAsia="仿宋" w:cs="仿宋"/>
          <w:spacing w:val="-4"/>
          <w:sz w:val="31"/>
          <w:szCs w:val="31"/>
        </w:rPr>
        <w:t>年</w:t>
      </w:r>
      <w:r>
        <w:rPr>
          <w:rFonts w:ascii="仿宋" w:hAnsi="仿宋" w:eastAsia="仿宋" w:cs="仿宋"/>
          <w:spacing w:val="-41"/>
          <w:sz w:val="31"/>
          <w:szCs w:val="31"/>
        </w:rPr>
        <w:t xml:space="preserve"> </w:t>
      </w:r>
      <w:r>
        <w:rPr>
          <w:rFonts w:ascii="仿宋" w:hAnsi="仿宋" w:eastAsia="仿宋" w:cs="仿宋"/>
          <w:spacing w:val="-4"/>
          <w:sz w:val="31"/>
          <w:szCs w:val="31"/>
        </w:rPr>
        <w:t>1</w:t>
      </w:r>
      <w:r>
        <w:rPr>
          <w:rFonts w:ascii="仿宋" w:hAnsi="仿宋" w:eastAsia="仿宋" w:cs="仿宋"/>
          <w:spacing w:val="-38"/>
          <w:sz w:val="31"/>
          <w:szCs w:val="31"/>
        </w:rPr>
        <w:t xml:space="preserve"> </w:t>
      </w:r>
      <w:r>
        <w:rPr>
          <w:rFonts w:ascii="仿宋" w:hAnsi="仿宋" w:eastAsia="仿宋" w:cs="仿宋"/>
          <w:spacing w:val="-4"/>
          <w:sz w:val="31"/>
          <w:szCs w:val="31"/>
        </w:rPr>
        <w:t>月</w:t>
      </w:r>
      <w:r>
        <w:rPr>
          <w:rFonts w:ascii="仿宋" w:hAnsi="仿宋" w:eastAsia="仿宋" w:cs="仿宋"/>
          <w:spacing w:val="-38"/>
          <w:sz w:val="31"/>
          <w:szCs w:val="31"/>
        </w:rPr>
        <w:t xml:space="preserve"> </w:t>
      </w:r>
      <w:r>
        <w:rPr>
          <w:rFonts w:ascii="仿宋" w:hAnsi="仿宋" w:eastAsia="仿宋" w:cs="仿宋"/>
          <w:spacing w:val="-4"/>
          <w:sz w:val="31"/>
          <w:szCs w:val="31"/>
        </w:rPr>
        <w:t>1 日起，我省煤电容量电价标</w:t>
      </w:r>
      <w:r>
        <w:rPr>
          <w:rFonts w:ascii="仿宋" w:hAnsi="仿宋" w:eastAsia="仿宋" w:cs="仿宋"/>
          <w:sz w:val="31"/>
          <w:szCs w:val="31"/>
        </w:rPr>
        <w:t>准调整为</w:t>
      </w:r>
      <w:r>
        <w:rPr>
          <w:rFonts w:ascii="仿宋" w:hAnsi="仿宋" w:eastAsia="仿宋" w:cs="仿宋"/>
          <w:spacing w:val="-33"/>
          <w:sz w:val="31"/>
          <w:szCs w:val="31"/>
        </w:rPr>
        <w:t xml:space="preserve"> </w:t>
      </w:r>
      <w:r>
        <w:rPr>
          <w:rFonts w:ascii="仿宋" w:hAnsi="仿宋" w:eastAsia="仿宋" w:cs="仿宋"/>
          <w:sz w:val="31"/>
          <w:szCs w:val="31"/>
        </w:rPr>
        <w:t>165</w:t>
      </w:r>
      <w:r>
        <w:rPr>
          <w:rFonts w:ascii="仿宋" w:hAnsi="仿宋" w:eastAsia="仿宋" w:cs="仿宋"/>
          <w:spacing w:val="-49"/>
          <w:sz w:val="31"/>
          <w:szCs w:val="31"/>
        </w:rPr>
        <w:t xml:space="preserve"> </w:t>
      </w:r>
      <w:r>
        <w:rPr>
          <w:rFonts w:ascii="仿宋" w:hAnsi="仿宋" w:eastAsia="仿宋" w:cs="仿宋"/>
          <w:sz w:val="31"/>
          <w:szCs w:val="31"/>
        </w:rPr>
        <w:t>元/千瓦</w:t>
      </w:r>
      <w:r>
        <w:rPr>
          <w:rFonts w:ascii="仿宋" w:hAnsi="仿宋" w:eastAsia="仿宋" w:cs="仿宋"/>
          <w:spacing w:val="-28"/>
          <w:sz w:val="31"/>
          <w:szCs w:val="31"/>
        </w:rPr>
        <w:t xml:space="preserve"> </w:t>
      </w:r>
      <w:r>
        <w:rPr>
          <w:rFonts w:ascii="仿宋" w:hAnsi="仿宋" w:eastAsia="仿宋" w:cs="仿宋"/>
          <w:sz w:val="31"/>
          <w:szCs w:val="31"/>
        </w:rPr>
        <w:t>·</w:t>
      </w:r>
      <w:r>
        <w:rPr>
          <w:rFonts w:ascii="仿宋" w:hAnsi="仿宋" w:eastAsia="仿宋" w:cs="仿宋"/>
          <w:spacing w:val="-128"/>
          <w:sz w:val="31"/>
          <w:szCs w:val="31"/>
        </w:rPr>
        <w:t xml:space="preserve"> </w:t>
      </w:r>
      <w:r>
        <w:rPr>
          <w:rFonts w:ascii="仿宋" w:hAnsi="仿宋" w:eastAsia="仿宋" w:cs="仿宋"/>
          <w:sz w:val="31"/>
          <w:szCs w:val="31"/>
        </w:rPr>
        <w:t>年(含税)。煤电容量电费纳入系统</w:t>
      </w:r>
      <w:r>
        <w:rPr>
          <w:rFonts w:ascii="仿宋" w:hAnsi="仿宋" w:eastAsia="仿宋" w:cs="仿宋"/>
          <w:spacing w:val="8"/>
          <w:sz w:val="31"/>
          <w:szCs w:val="31"/>
        </w:rPr>
        <w:t>运行费用，每月由工商业用户按当月用电量比例分摊（本合</w:t>
      </w:r>
    </w:p>
    <w:p w14:paraId="557A692A">
      <w:pPr>
        <w:spacing w:before="165" w:line="371" w:lineRule="auto"/>
        <w:ind w:right="251"/>
        <w:jc w:val="both"/>
        <w:rPr>
          <w:rFonts w:ascii="仿宋" w:hAnsi="仿宋" w:eastAsia="仿宋" w:cs="仿宋"/>
          <w:sz w:val="31"/>
          <w:szCs w:val="31"/>
        </w:rPr>
      </w:pPr>
      <w:r>
        <w:rPr>
          <w:rFonts w:ascii="仿宋" w:hAnsi="仿宋" w:eastAsia="仿宋" w:cs="仿宋"/>
          <w:spacing w:val="7"/>
          <w:sz w:val="31"/>
          <w:szCs w:val="31"/>
        </w:rPr>
        <w:t>同约定的电能量价格不包含此煤电容量电价）。售电公司要</w:t>
      </w:r>
      <w:r>
        <w:rPr>
          <w:rFonts w:ascii="仿宋" w:hAnsi="仿宋" w:eastAsia="仿宋" w:cs="仿宋"/>
          <w:spacing w:val="8"/>
          <w:sz w:val="31"/>
          <w:szCs w:val="31"/>
        </w:rPr>
        <w:t>严格履行电价政策告知程序，确保价格信号及时、合理传导</w:t>
      </w:r>
      <w:r>
        <w:rPr>
          <w:rFonts w:ascii="仿宋" w:hAnsi="仿宋" w:eastAsia="仿宋" w:cs="仿宋"/>
          <w:spacing w:val="4"/>
          <w:sz w:val="31"/>
          <w:szCs w:val="31"/>
        </w:rPr>
        <w:t>至零售用户。</w:t>
      </w:r>
    </w:p>
    <w:p w14:paraId="6793EF6D">
      <w:pPr>
        <w:spacing w:before="9" w:line="347" w:lineRule="auto"/>
        <w:ind w:left="34" w:right="248" w:firstLine="644"/>
        <w:rPr>
          <w:rFonts w:ascii="仿宋" w:hAnsi="仿宋" w:eastAsia="仿宋" w:cs="仿宋"/>
          <w:sz w:val="31"/>
          <w:szCs w:val="31"/>
        </w:rPr>
      </w:pPr>
      <w:r>
        <w:rPr>
          <w:rFonts w:ascii="仿宋" w:hAnsi="仿宋" w:eastAsia="仿宋" w:cs="仿宋"/>
          <w:spacing w:val="8"/>
          <w:sz w:val="31"/>
          <w:szCs w:val="31"/>
        </w:rPr>
        <w:t>六、合同执行过程中，若国家法律法规发生重大变化或者政府主管部门出台新的政策规则，需要重新签订或调整合同内容的，双方必须按照要求对本合同相关内容以及后续尚未执行的合同电量等予以重新约定、调整、修改，重签（或新签）合同或协议等。若有违反或拖延的，其后果由责任方</w:t>
      </w:r>
      <w:r>
        <w:rPr>
          <w:rFonts w:ascii="仿宋" w:hAnsi="仿宋" w:eastAsia="仿宋" w:cs="仿宋"/>
          <w:spacing w:val="-1"/>
          <w:sz w:val="31"/>
          <w:szCs w:val="31"/>
        </w:rPr>
        <w:t>承担。</w:t>
      </w:r>
    </w:p>
    <w:p w14:paraId="13107062">
      <w:pPr>
        <w:spacing w:before="238" w:line="323" w:lineRule="auto"/>
        <w:ind w:left="74" w:firstLine="608"/>
        <w:rPr>
          <w:rFonts w:ascii="仿宋" w:hAnsi="仿宋" w:eastAsia="仿宋" w:cs="仿宋"/>
          <w:sz w:val="31"/>
          <w:szCs w:val="31"/>
        </w:rPr>
        <w:sectPr>
          <w:footerReference r:id="rId5" w:type="default"/>
          <w:pgSz w:w="11906" w:h="16839"/>
          <w:pgMar w:top="1431" w:right="1551" w:bottom="1427" w:left="1785" w:header="0" w:footer="1151" w:gutter="0"/>
          <w:cols w:space="720" w:num="1"/>
        </w:sectPr>
      </w:pPr>
      <w:r>
        <w:rPr>
          <w:rFonts w:ascii="仿宋" w:hAnsi="仿宋" w:eastAsia="仿宋" w:cs="仿宋"/>
          <w:spacing w:val="8"/>
          <w:sz w:val="31"/>
          <w:szCs w:val="31"/>
        </w:rPr>
        <w:t>七、本合同及其附件构成双方就本合同标的达成的全部</w:t>
      </w:r>
      <w:r>
        <w:rPr>
          <w:rFonts w:ascii="仿宋" w:hAnsi="仿宋" w:eastAsia="仿宋" w:cs="仿宋"/>
          <w:spacing w:val="4"/>
          <w:sz w:val="31"/>
          <w:szCs w:val="31"/>
        </w:rPr>
        <w:t>内容。交易双方可在国家法律法规及市场规则允许的条件下，</w:t>
      </w:r>
      <w:r>
        <w:rPr>
          <w:rFonts w:ascii="仿宋" w:hAnsi="仿宋" w:eastAsia="仿宋" w:cs="仿宋"/>
          <w:spacing w:val="6"/>
          <w:sz w:val="31"/>
          <w:szCs w:val="31"/>
        </w:rPr>
        <w:t>自行对合同未尽事项进行协商并签订补充协议</w:t>
      </w:r>
    </w:p>
    <w:p w14:paraId="34278367">
      <w:pPr>
        <w:spacing w:line="324" w:lineRule="auto"/>
        <w:rPr>
          <w:rFonts w:ascii="Arial"/>
          <w:sz w:val="21"/>
        </w:rPr>
      </w:pPr>
    </w:p>
    <w:p w14:paraId="7A05F54A">
      <w:pPr>
        <w:spacing w:before="113" w:line="222" w:lineRule="auto"/>
        <w:ind w:left="3022"/>
        <w:outlineLvl w:val="0"/>
        <w:rPr>
          <w:rFonts w:ascii="黑体" w:hAnsi="黑体" w:eastAsia="黑体" w:cs="黑体"/>
          <w:sz w:val="35"/>
          <w:szCs w:val="35"/>
        </w:rPr>
      </w:pPr>
      <w:r>
        <w:rPr>
          <w:rFonts w:ascii="黑体" w:hAnsi="黑体" w:eastAsia="黑体" w:cs="黑体"/>
          <w:spacing w:val="1"/>
          <w:sz w:val="35"/>
          <w:szCs w:val="35"/>
        </w:rPr>
        <w:t>一、</w:t>
      </w:r>
      <w:r>
        <w:rPr>
          <w:rFonts w:ascii="黑体" w:hAnsi="黑体" w:eastAsia="黑体" w:cs="黑体"/>
          <w:spacing w:val="32"/>
          <w:sz w:val="35"/>
          <w:szCs w:val="35"/>
        </w:rPr>
        <w:t xml:space="preserve"> </w:t>
      </w:r>
      <w:r>
        <w:rPr>
          <w:rFonts w:ascii="黑体" w:hAnsi="黑体" w:eastAsia="黑体" w:cs="黑体"/>
          <w:spacing w:val="1"/>
          <w:sz w:val="35"/>
          <w:szCs w:val="35"/>
        </w:rPr>
        <w:t>双方陈述</w:t>
      </w:r>
    </w:p>
    <w:p w14:paraId="0BB51403">
      <w:pPr>
        <w:spacing w:before="224" w:line="225" w:lineRule="auto"/>
        <w:ind w:left="718"/>
        <w:rPr>
          <w:rFonts w:ascii="仿宋" w:hAnsi="仿宋" w:eastAsia="仿宋" w:cs="仿宋"/>
          <w:sz w:val="31"/>
          <w:szCs w:val="31"/>
        </w:rPr>
      </w:pPr>
      <w:r>
        <w:rPr>
          <w:rFonts w:ascii="仿宋" w:hAnsi="仿宋" w:eastAsia="仿宋" w:cs="仿宋"/>
          <w:spacing w:val="6"/>
          <w:sz w:val="31"/>
          <w:szCs w:val="31"/>
        </w:rPr>
        <w:t>甲、乙双方任何一方在此向对方陈述如下：</w:t>
      </w:r>
    </w:p>
    <w:p w14:paraId="56B034DE">
      <w:pPr>
        <w:spacing w:before="246" w:line="323" w:lineRule="auto"/>
        <w:ind w:left="34" w:right="87" w:firstLine="655"/>
        <w:rPr>
          <w:rFonts w:ascii="仿宋" w:hAnsi="仿宋" w:eastAsia="仿宋" w:cs="仿宋"/>
          <w:sz w:val="31"/>
          <w:szCs w:val="31"/>
        </w:rPr>
      </w:pPr>
      <w:r>
        <w:rPr>
          <w:rFonts w:ascii="仿宋" w:hAnsi="仿宋" w:eastAsia="仿宋" w:cs="仿宋"/>
          <w:spacing w:val="7"/>
          <w:sz w:val="31"/>
          <w:szCs w:val="31"/>
        </w:rPr>
        <w:t>1.1 本方为一家依法设立并合法存续的企业，符合电力</w:t>
      </w:r>
      <w:r>
        <w:rPr>
          <w:rFonts w:ascii="仿宋" w:hAnsi="仿宋" w:eastAsia="仿宋" w:cs="仿宋"/>
          <w:spacing w:val="8"/>
          <w:sz w:val="31"/>
          <w:szCs w:val="31"/>
        </w:rPr>
        <w:t>市场准入条件，已在省电力交易中心完成市场注册，有权签</w:t>
      </w:r>
      <w:r>
        <w:rPr>
          <w:rFonts w:ascii="仿宋" w:hAnsi="仿宋" w:eastAsia="仿宋" w:cs="仿宋"/>
          <w:spacing w:val="7"/>
          <w:sz w:val="31"/>
          <w:szCs w:val="31"/>
        </w:rPr>
        <w:t>署并有能力履行本合同。</w:t>
      </w:r>
    </w:p>
    <w:p w14:paraId="4B769F71">
      <w:pPr>
        <w:spacing w:before="243" w:line="324" w:lineRule="auto"/>
        <w:ind w:left="45" w:right="90" w:firstLine="644"/>
        <w:rPr>
          <w:rFonts w:ascii="仿宋" w:hAnsi="仿宋" w:eastAsia="仿宋" w:cs="仿宋"/>
          <w:sz w:val="31"/>
          <w:szCs w:val="31"/>
        </w:rPr>
      </w:pPr>
      <w:r>
        <w:rPr>
          <w:rFonts w:ascii="仿宋" w:hAnsi="仿宋" w:eastAsia="仿宋" w:cs="仿宋"/>
          <w:spacing w:val="7"/>
          <w:sz w:val="31"/>
          <w:szCs w:val="31"/>
        </w:rPr>
        <w:t>1.2 本方签署和履行本合同所需的一切资质资格（包括</w:t>
      </w:r>
      <w:r>
        <w:rPr>
          <w:rFonts w:ascii="仿宋" w:hAnsi="仿宋" w:eastAsia="仿宋" w:cs="仿宋"/>
          <w:spacing w:val="8"/>
          <w:sz w:val="31"/>
          <w:szCs w:val="31"/>
        </w:rPr>
        <w:t>办理必要的政府批准、取得营业执照等）均已办理完毕并合</w:t>
      </w:r>
      <w:r>
        <w:rPr>
          <w:rFonts w:ascii="仿宋" w:hAnsi="仿宋" w:eastAsia="仿宋" w:cs="仿宋"/>
          <w:spacing w:val="-1"/>
          <w:sz w:val="31"/>
          <w:szCs w:val="31"/>
        </w:rPr>
        <w:t>法有效。</w:t>
      </w:r>
    </w:p>
    <w:p w14:paraId="6B4F271D">
      <w:pPr>
        <w:spacing w:before="239" w:line="351" w:lineRule="auto"/>
        <w:ind w:left="34" w:right="87" w:firstLine="655"/>
        <w:rPr>
          <w:rFonts w:ascii="仿宋" w:hAnsi="仿宋" w:eastAsia="仿宋" w:cs="仿宋"/>
          <w:sz w:val="31"/>
          <w:szCs w:val="31"/>
        </w:rPr>
      </w:pPr>
      <w:r>
        <w:rPr>
          <w:rFonts w:ascii="仿宋" w:hAnsi="仿宋" w:eastAsia="仿宋" w:cs="仿宋"/>
          <w:spacing w:val="7"/>
          <w:sz w:val="31"/>
          <w:szCs w:val="31"/>
        </w:rPr>
        <w:t>1.3 本方根据国家有关法律、法规，依据安徽电力中长</w:t>
      </w:r>
      <w:r>
        <w:rPr>
          <w:rFonts w:ascii="仿宋" w:hAnsi="仿宋" w:eastAsia="仿宋" w:cs="仿宋"/>
          <w:spacing w:val="8"/>
          <w:sz w:val="31"/>
          <w:szCs w:val="31"/>
        </w:rPr>
        <w:t>期交易规则及年度实施方案、绿色电力交易相关规则、安徽</w:t>
      </w:r>
      <w:r>
        <w:rPr>
          <w:rFonts w:ascii="仿宋" w:hAnsi="仿宋" w:eastAsia="仿宋" w:cs="仿宋"/>
          <w:spacing w:val="5"/>
          <w:sz w:val="31"/>
          <w:szCs w:val="31"/>
        </w:rPr>
        <w:t>现货市场建设相关政策规则等，本着平等、</w:t>
      </w:r>
      <w:r>
        <w:rPr>
          <w:rFonts w:ascii="仿宋" w:hAnsi="仿宋" w:eastAsia="仿宋" w:cs="仿宋"/>
          <w:spacing w:val="-63"/>
          <w:sz w:val="31"/>
          <w:szCs w:val="31"/>
        </w:rPr>
        <w:t xml:space="preserve"> </w:t>
      </w:r>
      <w:r>
        <w:rPr>
          <w:rFonts w:ascii="仿宋" w:hAnsi="仿宋" w:eastAsia="仿宋" w:cs="仿宋"/>
          <w:spacing w:val="5"/>
          <w:sz w:val="31"/>
          <w:szCs w:val="31"/>
        </w:rPr>
        <w:t>自愿、公平、诚</w:t>
      </w:r>
      <w:r>
        <w:rPr>
          <w:rFonts w:ascii="仿宋" w:hAnsi="仿宋" w:eastAsia="仿宋" w:cs="仿宋"/>
          <w:spacing w:val="8"/>
          <w:sz w:val="31"/>
          <w:szCs w:val="31"/>
        </w:rPr>
        <w:t>信的原则，经协商一致，签订本合同，合同内容符合国家有关市场交易的法律、法规以及政策等。在省电力交易中心通知的交易时间范围内，合同双方及时在电力交易平台完成零售关系绑定或变更，不拖签、拒签或提出不合理诉求。</w:t>
      </w:r>
    </w:p>
    <w:p w14:paraId="685B5576">
      <w:pPr>
        <w:spacing w:before="245" w:line="323" w:lineRule="auto"/>
        <w:ind w:left="35" w:right="90" w:firstLine="654"/>
        <w:rPr>
          <w:rFonts w:ascii="仿宋" w:hAnsi="仿宋" w:eastAsia="仿宋" w:cs="仿宋"/>
          <w:sz w:val="31"/>
          <w:szCs w:val="31"/>
        </w:rPr>
      </w:pPr>
      <w:r>
        <w:rPr>
          <w:rFonts w:ascii="仿宋" w:hAnsi="仿宋" w:eastAsia="仿宋" w:cs="仿宋"/>
          <w:spacing w:val="7"/>
          <w:sz w:val="31"/>
          <w:szCs w:val="31"/>
        </w:rPr>
        <w:t>1.4 在签署本合同时，人民法院、仲裁机构、行政机关</w:t>
      </w:r>
      <w:r>
        <w:rPr>
          <w:rFonts w:ascii="仿宋" w:hAnsi="仿宋" w:eastAsia="仿宋" w:cs="仿宋"/>
          <w:spacing w:val="21"/>
          <w:sz w:val="31"/>
          <w:szCs w:val="31"/>
        </w:rPr>
        <w:t>均未做出过任何足以对本方履行本合同产生重大不利影响</w:t>
      </w:r>
      <w:r>
        <w:rPr>
          <w:rFonts w:ascii="仿宋" w:hAnsi="仿宋" w:eastAsia="仿宋" w:cs="仿宋"/>
          <w:spacing w:val="8"/>
          <w:sz w:val="31"/>
          <w:szCs w:val="31"/>
        </w:rPr>
        <w:t>的判决、裁定、裁决或具体行政行为。</w:t>
      </w:r>
    </w:p>
    <w:p w14:paraId="78054B26">
      <w:pPr>
        <w:spacing w:before="243" w:line="323" w:lineRule="auto"/>
        <w:ind w:left="36" w:firstLine="653"/>
        <w:rPr>
          <w:rFonts w:ascii="仿宋" w:hAnsi="仿宋" w:eastAsia="仿宋" w:cs="仿宋"/>
          <w:sz w:val="31"/>
          <w:szCs w:val="31"/>
        </w:rPr>
      </w:pPr>
      <w:r>
        <w:rPr>
          <w:rFonts w:ascii="仿宋" w:hAnsi="仿宋" w:eastAsia="仿宋" w:cs="仿宋"/>
          <w:spacing w:val="13"/>
          <w:sz w:val="31"/>
          <w:szCs w:val="31"/>
        </w:rPr>
        <w:t>1.5 本方系一家具有法人资格/经法人单位授权的用电</w:t>
      </w:r>
      <w:r>
        <w:rPr>
          <w:rFonts w:ascii="仿宋" w:hAnsi="仿宋" w:eastAsia="仿宋" w:cs="仿宋"/>
          <w:spacing w:val="6"/>
          <w:sz w:val="31"/>
          <w:szCs w:val="31"/>
        </w:rPr>
        <w:t>企业/售电公司，签署本合同所需的内部授权</w:t>
      </w:r>
      <w:r>
        <w:rPr>
          <w:rFonts w:ascii="仿宋" w:hAnsi="仿宋" w:eastAsia="仿宋" w:cs="仿宋"/>
          <w:spacing w:val="5"/>
          <w:sz w:val="31"/>
          <w:szCs w:val="31"/>
        </w:rPr>
        <w:t>程序均已完成，</w:t>
      </w:r>
      <w:r>
        <w:rPr>
          <w:rFonts w:ascii="仿宋" w:hAnsi="仿宋" w:eastAsia="仿宋" w:cs="仿宋"/>
          <w:spacing w:val="8"/>
          <w:sz w:val="31"/>
          <w:szCs w:val="31"/>
        </w:rPr>
        <w:t>签署本合同的是本方法定代表人或授权代理人，并且本合同</w:t>
      </w:r>
    </w:p>
    <w:p w14:paraId="24983C16">
      <w:pPr>
        <w:spacing w:before="162" w:line="226" w:lineRule="auto"/>
        <w:rPr>
          <w:rFonts w:ascii="仿宋" w:hAnsi="仿宋" w:eastAsia="仿宋" w:cs="仿宋"/>
          <w:sz w:val="31"/>
          <w:szCs w:val="31"/>
        </w:rPr>
      </w:pPr>
      <w:r>
        <w:rPr>
          <w:rFonts w:ascii="仿宋" w:hAnsi="仿宋" w:eastAsia="仿宋" w:cs="仿宋"/>
          <w:spacing w:val="6"/>
          <w:sz w:val="31"/>
          <w:szCs w:val="31"/>
        </w:rPr>
        <w:t>生效后即对双方具有法律约束力。</w:t>
      </w:r>
    </w:p>
    <w:p w14:paraId="02DCAEBB">
      <w:pPr>
        <w:spacing w:before="243" w:line="323" w:lineRule="auto"/>
        <w:ind w:left="34" w:right="261" w:firstLine="655"/>
        <w:rPr>
          <w:rFonts w:ascii="仿宋" w:hAnsi="仿宋" w:eastAsia="仿宋" w:cs="仿宋"/>
          <w:sz w:val="31"/>
          <w:szCs w:val="31"/>
        </w:rPr>
      </w:pPr>
      <w:r>
        <w:rPr>
          <w:rFonts w:ascii="仿宋" w:hAnsi="仿宋" w:eastAsia="仿宋" w:cs="仿宋"/>
          <w:spacing w:val="7"/>
          <w:sz w:val="31"/>
          <w:szCs w:val="31"/>
        </w:rPr>
        <w:t>1.6 本方已充分理解电力市场有关规则，完全清楚电力</w:t>
      </w:r>
      <w:r>
        <w:rPr>
          <w:rFonts w:ascii="仿宋" w:hAnsi="仿宋" w:eastAsia="仿宋" w:cs="仿宋"/>
          <w:spacing w:val="8"/>
          <w:sz w:val="31"/>
          <w:szCs w:val="31"/>
        </w:rPr>
        <w:t>市场可能存在的风险，认同成交结果，统一按照本合同约定执行，并自愿承担可能存在的后果。</w:t>
      </w:r>
    </w:p>
    <w:p w14:paraId="282BE162">
      <w:pPr>
        <w:spacing w:before="245" w:line="336" w:lineRule="auto"/>
        <w:ind w:left="35" w:firstLine="654"/>
        <w:rPr>
          <w:rFonts w:ascii="仿宋" w:hAnsi="仿宋" w:eastAsia="仿宋" w:cs="仿宋"/>
          <w:sz w:val="31"/>
          <w:szCs w:val="31"/>
        </w:rPr>
      </w:pPr>
      <w:r>
        <w:rPr>
          <w:rFonts w:ascii="仿宋" w:hAnsi="仿宋" w:eastAsia="仿宋" w:cs="仿宋"/>
          <w:spacing w:val="5"/>
          <w:sz w:val="31"/>
          <w:szCs w:val="31"/>
        </w:rPr>
        <w:t>1.7 本方妥善保管自身注册账号密码、手机短信验证码、</w:t>
      </w:r>
      <w:r>
        <w:rPr>
          <w:rFonts w:ascii="仿宋" w:hAnsi="仿宋" w:eastAsia="仿宋" w:cs="仿宋"/>
          <w:spacing w:val="8"/>
          <w:sz w:val="31"/>
          <w:szCs w:val="31"/>
        </w:rPr>
        <w:t>工商营业执照、数字证书等重要信息，勿向他人泄露，因信息泄露而产生的损失及由此引起的纠纷，由本方承担相关责</w:t>
      </w:r>
      <w:r>
        <w:rPr>
          <w:rFonts w:ascii="仿宋" w:hAnsi="仿宋" w:eastAsia="仿宋" w:cs="仿宋"/>
          <w:spacing w:val="-7"/>
          <w:sz w:val="31"/>
          <w:szCs w:val="31"/>
        </w:rPr>
        <w:t>任。</w:t>
      </w:r>
    </w:p>
    <w:p w14:paraId="2D327479">
      <w:pPr>
        <w:spacing w:before="238" w:line="324" w:lineRule="auto"/>
        <w:ind w:left="31" w:right="263" w:firstLine="658"/>
        <w:rPr>
          <w:rFonts w:ascii="仿宋" w:hAnsi="仿宋" w:eastAsia="仿宋" w:cs="仿宋"/>
          <w:sz w:val="31"/>
          <w:szCs w:val="31"/>
        </w:rPr>
      </w:pPr>
      <w:r>
        <w:rPr>
          <w:rFonts w:ascii="仿宋" w:hAnsi="仿宋" w:eastAsia="仿宋" w:cs="仿宋"/>
          <w:spacing w:val="7"/>
          <w:sz w:val="31"/>
          <w:szCs w:val="31"/>
        </w:rPr>
        <w:t>1.8 如国家法律、法规发生变化或者政府有关部门出台</w:t>
      </w:r>
      <w:r>
        <w:rPr>
          <w:rFonts w:ascii="仿宋" w:hAnsi="仿宋" w:eastAsia="仿宋" w:cs="仿宋"/>
          <w:spacing w:val="8"/>
          <w:sz w:val="31"/>
          <w:szCs w:val="31"/>
        </w:rPr>
        <w:t>有关规定、规则，合同双方同意按照法律、法规、规定和规</w:t>
      </w:r>
      <w:r>
        <w:rPr>
          <w:rFonts w:ascii="仿宋" w:hAnsi="仿宋" w:eastAsia="仿宋" w:cs="仿宋"/>
          <w:spacing w:val="7"/>
          <w:sz w:val="31"/>
          <w:szCs w:val="31"/>
        </w:rPr>
        <w:t>则对本合同予以调整和修改。</w:t>
      </w:r>
    </w:p>
    <w:p w14:paraId="70AD690F">
      <w:pPr>
        <w:spacing w:before="241" w:line="324" w:lineRule="auto"/>
        <w:ind w:left="34" w:right="263" w:firstLine="655"/>
        <w:rPr>
          <w:rFonts w:ascii="仿宋" w:hAnsi="仿宋" w:eastAsia="仿宋" w:cs="仿宋"/>
          <w:sz w:val="31"/>
          <w:szCs w:val="31"/>
        </w:rPr>
      </w:pPr>
      <w:r>
        <w:rPr>
          <w:rFonts w:ascii="仿宋" w:hAnsi="仿宋" w:eastAsia="仿宋" w:cs="仿宋"/>
          <w:spacing w:val="4"/>
          <w:sz w:val="31"/>
          <w:szCs w:val="31"/>
        </w:rPr>
        <w:t>1.9</w:t>
      </w:r>
      <w:r>
        <w:rPr>
          <w:rFonts w:ascii="仿宋" w:hAnsi="仿宋" w:eastAsia="仿宋" w:cs="仿宋"/>
          <w:spacing w:val="87"/>
          <w:sz w:val="31"/>
          <w:szCs w:val="31"/>
        </w:rPr>
        <w:t xml:space="preserve"> </w:t>
      </w:r>
      <w:r>
        <w:rPr>
          <w:rFonts w:ascii="仿宋" w:hAnsi="仿宋" w:eastAsia="仿宋" w:cs="仿宋"/>
          <w:spacing w:val="4"/>
          <w:sz w:val="31"/>
          <w:szCs w:val="31"/>
        </w:rPr>
        <w:t>甲方承诺在本代理合同签订后，除非本合同依法终</w:t>
      </w:r>
      <w:r>
        <w:rPr>
          <w:rFonts w:ascii="仿宋" w:hAnsi="仿宋" w:eastAsia="仿宋" w:cs="仿宋"/>
          <w:spacing w:val="8"/>
          <w:sz w:val="31"/>
          <w:szCs w:val="31"/>
        </w:rPr>
        <w:t>止，在本合同有效期内不再与其他售电公司签订电力零售市</w:t>
      </w:r>
      <w:r>
        <w:rPr>
          <w:rFonts w:ascii="仿宋" w:hAnsi="仿宋" w:eastAsia="仿宋" w:cs="仿宋"/>
          <w:spacing w:val="4"/>
          <w:sz w:val="31"/>
          <w:szCs w:val="31"/>
        </w:rPr>
        <w:t>场代理合同。</w:t>
      </w:r>
    </w:p>
    <w:p w14:paraId="73A98E0B">
      <w:pPr>
        <w:spacing w:before="236" w:line="343" w:lineRule="auto"/>
        <w:ind w:left="35" w:right="261" w:firstLine="654"/>
        <w:rPr>
          <w:rFonts w:ascii="仿宋" w:hAnsi="仿宋" w:eastAsia="仿宋" w:cs="仿宋"/>
          <w:sz w:val="31"/>
          <w:szCs w:val="31"/>
        </w:rPr>
      </w:pPr>
      <w:r>
        <w:rPr>
          <w:rFonts w:ascii="仿宋" w:hAnsi="仿宋" w:eastAsia="仿宋" w:cs="仿宋"/>
          <w:spacing w:val="11"/>
          <w:sz w:val="31"/>
          <w:szCs w:val="31"/>
        </w:rPr>
        <w:t>1.10</w:t>
      </w:r>
      <w:r>
        <w:rPr>
          <w:rFonts w:ascii="仿宋" w:hAnsi="仿宋" w:eastAsia="仿宋" w:cs="仿宋"/>
          <w:spacing w:val="73"/>
          <w:sz w:val="31"/>
          <w:szCs w:val="31"/>
        </w:rPr>
        <w:t xml:space="preserve"> </w:t>
      </w:r>
      <w:r>
        <w:rPr>
          <w:rFonts w:ascii="仿宋" w:hAnsi="仿宋" w:eastAsia="仿宋" w:cs="仿宋"/>
          <w:spacing w:val="11"/>
          <w:sz w:val="31"/>
          <w:szCs w:val="31"/>
        </w:rPr>
        <w:t>甲方应及时向乙方提供与履行本合</w:t>
      </w:r>
      <w:r>
        <w:rPr>
          <w:rFonts w:ascii="仿宋" w:hAnsi="仿宋" w:eastAsia="仿宋" w:cs="仿宋"/>
          <w:spacing w:val="10"/>
          <w:sz w:val="31"/>
          <w:szCs w:val="31"/>
        </w:rPr>
        <w:t>同相关的电力</w:t>
      </w:r>
      <w:r>
        <w:rPr>
          <w:rFonts w:ascii="仿宋" w:hAnsi="仿宋" w:eastAsia="仿宋" w:cs="仿宋"/>
          <w:spacing w:val="8"/>
          <w:sz w:val="31"/>
          <w:szCs w:val="31"/>
        </w:rPr>
        <w:t>电量需求和其他生产信息，通报用电户号的开户、过户、销</w:t>
      </w:r>
      <w:r>
        <w:rPr>
          <w:rFonts w:ascii="仿宋" w:hAnsi="仿宋" w:eastAsia="仿宋" w:cs="仿宋"/>
          <w:spacing w:val="6"/>
          <w:sz w:val="31"/>
          <w:szCs w:val="31"/>
        </w:rPr>
        <w:t>户等可能影响电力市场交易的情况。其中，</w:t>
      </w:r>
      <w:r>
        <w:rPr>
          <w:rFonts w:ascii="仿宋" w:hAnsi="仿宋" w:eastAsia="仿宋" w:cs="仿宋"/>
          <w:spacing w:val="-90"/>
          <w:sz w:val="31"/>
          <w:szCs w:val="31"/>
        </w:rPr>
        <w:t xml:space="preserve"> </w:t>
      </w:r>
      <w:r>
        <w:rPr>
          <w:rFonts w:ascii="仿宋" w:hAnsi="仿宋" w:eastAsia="仿宋" w:cs="仿宋"/>
          <w:spacing w:val="6"/>
          <w:sz w:val="31"/>
          <w:szCs w:val="31"/>
        </w:rPr>
        <w:t>甲方所涉用电户</w:t>
      </w:r>
      <w:r>
        <w:rPr>
          <w:rFonts w:ascii="仿宋" w:hAnsi="仿宋" w:eastAsia="仿宋" w:cs="仿宋"/>
          <w:spacing w:val="21"/>
          <w:sz w:val="31"/>
          <w:szCs w:val="31"/>
        </w:rPr>
        <w:t>号和用电信息等以省电力公司营销业务系统和电力交易平</w:t>
      </w:r>
      <w:r>
        <w:rPr>
          <w:rFonts w:ascii="仿宋" w:hAnsi="仿宋" w:eastAsia="仿宋" w:cs="仿宋"/>
          <w:spacing w:val="2"/>
          <w:sz w:val="31"/>
          <w:szCs w:val="31"/>
        </w:rPr>
        <w:t>台为准。</w:t>
      </w:r>
    </w:p>
    <w:p w14:paraId="56983ED7">
      <w:pPr>
        <w:spacing w:before="244" w:line="323" w:lineRule="auto"/>
        <w:ind w:left="36" w:right="263" w:firstLine="653"/>
        <w:rPr>
          <w:rFonts w:ascii="仿宋" w:hAnsi="仿宋" w:eastAsia="仿宋" w:cs="仿宋"/>
          <w:sz w:val="31"/>
          <w:szCs w:val="31"/>
        </w:rPr>
      </w:pPr>
      <w:r>
        <w:rPr>
          <w:rFonts w:ascii="仿宋" w:hAnsi="仿宋" w:eastAsia="仿宋" w:cs="仿宋"/>
          <w:spacing w:val="11"/>
          <w:sz w:val="31"/>
          <w:szCs w:val="31"/>
        </w:rPr>
        <w:t>1.11</w:t>
      </w:r>
      <w:r>
        <w:rPr>
          <w:rFonts w:ascii="仿宋" w:hAnsi="仿宋" w:eastAsia="仿宋" w:cs="仿宋"/>
          <w:spacing w:val="67"/>
          <w:sz w:val="31"/>
          <w:szCs w:val="31"/>
        </w:rPr>
        <w:t xml:space="preserve"> </w:t>
      </w:r>
      <w:r>
        <w:rPr>
          <w:rFonts w:ascii="仿宋" w:hAnsi="仿宋" w:eastAsia="仿宋" w:cs="仿宋"/>
          <w:spacing w:val="11"/>
          <w:sz w:val="31"/>
          <w:szCs w:val="31"/>
        </w:rPr>
        <w:t>乙方应向甲方提供优质的售电服务，承担保密义</w:t>
      </w:r>
      <w:r>
        <w:rPr>
          <w:rFonts w:ascii="仿宋" w:hAnsi="仿宋" w:eastAsia="仿宋" w:cs="仿宋"/>
          <w:spacing w:val="8"/>
          <w:sz w:val="31"/>
          <w:szCs w:val="31"/>
        </w:rPr>
        <w:t>务、不泄露用户信息，及时向甲方告知煤电容量电价机制等政策调整情况及其可能带来的影响，详细向甲方解释说明附</w:t>
      </w:r>
    </w:p>
    <w:p w14:paraId="553B9CFB">
      <w:pPr>
        <w:spacing w:line="323" w:lineRule="auto"/>
        <w:rPr>
          <w:rFonts w:ascii="仿宋" w:hAnsi="仿宋" w:eastAsia="仿宋" w:cs="仿宋"/>
          <w:sz w:val="31"/>
          <w:szCs w:val="31"/>
        </w:rPr>
        <w:sectPr>
          <w:footerReference r:id="rId6" w:type="default"/>
          <w:pgSz w:w="11906" w:h="16839"/>
          <w:pgMar w:top="1431" w:right="1538" w:bottom="1427" w:left="1785" w:header="0" w:footer="1151" w:gutter="0"/>
          <w:cols w:space="720" w:num="1"/>
        </w:sectPr>
      </w:pPr>
    </w:p>
    <w:p w14:paraId="03377815">
      <w:pPr>
        <w:spacing w:before="163" w:line="371" w:lineRule="auto"/>
        <w:ind w:left="37" w:right="113" w:hanging="2"/>
        <w:rPr>
          <w:rFonts w:ascii="仿宋" w:hAnsi="仿宋" w:eastAsia="仿宋" w:cs="仿宋"/>
          <w:sz w:val="31"/>
          <w:szCs w:val="31"/>
        </w:rPr>
      </w:pPr>
      <w:r>
        <w:rPr>
          <w:rFonts w:ascii="仿宋" w:hAnsi="仿宋" w:eastAsia="仿宋" w:cs="仿宋"/>
          <w:spacing w:val="8"/>
          <w:sz w:val="31"/>
          <w:szCs w:val="31"/>
        </w:rPr>
        <w:t>件零售套餐参数及其要求。乙方退出电力市场时，应与甲方</w:t>
      </w:r>
      <w:r>
        <w:rPr>
          <w:rFonts w:ascii="仿宋" w:hAnsi="仿宋" w:eastAsia="仿宋" w:cs="仿宋"/>
          <w:spacing w:val="5"/>
          <w:sz w:val="31"/>
          <w:szCs w:val="31"/>
        </w:rPr>
        <w:t>解除零售合同，并配合完成电费、</w:t>
      </w:r>
      <w:r>
        <w:rPr>
          <w:rFonts w:ascii="仿宋" w:hAnsi="仿宋" w:eastAsia="仿宋" w:cs="仿宋"/>
          <w:spacing w:val="-87"/>
          <w:sz w:val="31"/>
          <w:szCs w:val="31"/>
        </w:rPr>
        <w:t xml:space="preserve"> </w:t>
      </w:r>
      <w:r>
        <w:rPr>
          <w:rFonts w:ascii="仿宋" w:hAnsi="仿宋" w:eastAsia="仿宋" w:cs="仿宋"/>
          <w:spacing w:val="5"/>
          <w:sz w:val="31"/>
          <w:szCs w:val="31"/>
        </w:rPr>
        <w:t>电量的清算。</w:t>
      </w:r>
    </w:p>
    <w:p w14:paraId="088C7403">
      <w:pPr>
        <w:spacing w:before="2" w:line="298" w:lineRule="auto"/>
        <w:ind w:left="37" w:right="114" w:firstLine="651"/>
        <w:rPr>
          <w:rFonts w:ascii="仿宋" w:hAnsi="仿宋" w:eastAsia="仿宋" w:cs="仿宋"/>
          <w:sz w:val="31"/>
          <w:szCs w:val="31"/>
        </w:rPr>
      </w:pPr>
      <w:r>
        <w:rPr>
          <w:rFonts w:ascii="仿宋" w:hAnsi="仿宋" w:eastAsia="仿宋" w:cs="仿宋"/>
          <w:spacing w:val="11"/>
          <w:sz w:val="31"/>
          <w:szCs w:val="31"/>
        </w:rPr>
        <w:t>1.12</w:t>
      </w:r>
      <w:r>
        <w:rPr>
          <w:rFonts w:ascii="仿宋" w:hAnsi="仿宋" w:eastAsia="仿宋" w:cs="仿宋"/>
          <w:spacing w:val="67"/>
          <w:sz w:val="31"/>
          <w:szCs w:val="31"/>
        </w:rPr>
        <w:t xml:space="preserve"> </w:t>
      </w:r>
      <w:r>
        <w:rPr>
          <w:rFonts w:ascii="仿宋" w:hAnsi="仿宋" w:eastAsia="仿宋" w:cs="仿宋"/>
          <w:spacing w:val="11"/>
          <w:sz w:val="31"/>
          <w:szCs w:val="31"/>
        </w:rPr>
        <w:t>乙方必须按时足额缴纳履约保函或履约保险等履</w:t>
      </w:r>
      <w:r>
        <w:rPr>
          <w:rFonts w:ascii="仿宋" w:hAnsi="仿宋" w:eastAsia="仿宋" w:cs="仿宋"/>
          <w:spacing w:val="8"/>
          <w:sz w:val="31"/>
          <w:szCs w:val="31"/>
        </w:rPr>
        <w:t>约担保，在履约担保额度不足时及时补缴。</w:t>
      </w:r>
    </w:p>
    <w:p w14:paraId="1974CFEB">
      <w:pPr>
        <w:spacing w:before="245" w:line="351" w:lineRule="auto"/>
        <w:ind w:left="36" w:right="111" w:firstLine="653"/>
        <w:rPr>
          <w:rFonts w:ascii="仿宋" w:hAnsi="仿宋" w:eastAsia="仿宋" w:cs="仿宋"/>
          <w:sz w:val="31"/>
          <w:szCs w:val="31"/>
        </w:rPr>
      </w:pPr>
      <w:r>
        <w:rPr>
          <w:rFonts w:ascii="仿宋" w:hAnsi="仿宋" w:eastAsia="仿宋" w:cs="仿宋"/>
          <w:spacing w:val="3"/>
          <w:sz w:val="31"/>
          <w:szCs w:val="31"/>
        </w:rPr>
        <w:t>1.13</w:t>
      </w:r>
      <w:r>
        <w:rPr>
          <w:rFonts w:ascii="仿宋" w:hAnsi="仿宋" w:eastAsia="仿宋" w:cs="仿宋"/>
          <w:spacing w:val="-46"/>
          <w:sz w:val="31"/>
          <w:szCs w:val="31"/>
        </w:rPr>
        <w:t xml:space="preserve"> </w:t>
      </w:r>
      <w:r>
        <w:rPr>
          <w:rFonts w:ascii="仿宋" w:hAnsi="仿宋" w:eastAsia="仿宋" w:cs="仿宋"/>
          <w:spacing w:val="3"/>
          <w:sz w:val="31"/>
          <w:szCs w:val="31"/>
        </w:rPr>
        <w:t>在批发或零售市场，若本方因自身原因在交易过程</w:t>
      </w:r>
      <w:r>
        <w:rPr>
          <w:rFonts w:ascii="仿宋" w:hAnsi="仿宋" w:eastAsia="仿宋" w:cs="仿宋"/>
          <w:spacing w:val="8"/>
          <w:sz w:val="31"/>
          <w:szCs w:val="31"/>
        </w:rPr>
        <w:t>中出现误判、错漏或其他异常情况等，导致价格电量异常和亏损金额较大的，则本方自行承担相应责任和后果。乙方若在中长期、现货和绿电等交易中出现频繁或大幅反向交易、大量超买超卖、价格电量异常、盈亏金额较大等异常情况，</w:t>
      </w:r>
      <w:r>
        <w:rPr>
          <w:rFonts w:ascii="仿宋" w:hAnsi="仿宋" w:eastAsia="仿宋" w:cs="仿宋"/>
          <w:spacing w:val="21"/>
          <w:sz w:val="31"/>
          <w:szCs w:val="31"/>
        </w:rPr>
        <w:t>电力交易机构可按照能源监管机构和政府主管部门要求采</w:t>
      </w:r>
      <w:r>
        <w:rPr>
          <w:rFonts w:ascii="仿宋" w:hAnsi="仿宋" w:eastAsia="仿宋" w:cs="仿宋"/>
          <w:spacing w:val="7"/>
          <w:sz w:val="31"/>
          <w:szCs w:val="31"/>
        </w:rPr>
        <w:t>取信用评价或风险防控等措施。</w:t>
      </w:r>
    </w:p>
    <w:p w14:paraId="2A72032F">
      <w:pPr>
        <w:spacing w:before="221" w:line="222" w:lineRule="auto"/>
        <w:ind w:left="2389"/>
        <w:outlineLvl w:val="0"/>
        <w:rPr>
          <w:rFonts w:ascii="黑体" w:hAnsi="黑体" w:eastAsia="黑体" w:cs="黑体"/>
          <w:sz w:val="35"/>
          <w:szCs w:val="35"/>
        </w:rPr>
      </w:pPr>
      <w:r>
        <w:rPr>
          <w:rFonts w:ascii="黑体" w:hAnsi="黑体" w:eastAsia="黑体" w:cs="黑体"/>
          <w:spacing w:val="7"/>
          <w:sz w:val="35"/>
          <w:szCs w:val="35"/>
        </w:rPr>
        <w:t>二、双方的权利和义务</w:t>
      </w:r>
    </w:p>
    <w:p w14:paraId="0D8C4C40">
      <w:pPr>
        <w:spacing w:before="224" w:line="228" w:lineRule="auto"/>
        <w:ind w:left="669"/>
        <w:rPr>
          <w:rFonts w:ascii="仿宋" w:hAnsi="仿宋" w:eastAsia="仿宋" w:cs="仿宋"/>
          <w:sz w:val="31"/>
          <w:szCs w:val="31"/>
        </w:rPr>
      </w:pPr>
      <w:r>
        <w:rPr>
          <w:rFonts w:ascii="仿宋" w:hAnsi="仿宋" w:eastAsia="仿宋" w:cs="仿宋"/>
          <w:sz w:val="31"/>
          <w:szCs w:val="31"/>
        </w:rPr>
        <w:t>2.1</w:t>
      </w:r>
      <w:r>
        <w:rPr>
          <w:rFonts w:ascii="仿宋" w:hAnsi="仿宋" w:eastAsia="仿宋" w:cs="仿宋"/>
          <w:spacing w:val="71"/>
          <w:sz w:val="31"/>
          <w:szCs w:val="31"/>
        </w:rPr>
        <w:t xml:space="preserve"> </w:t>
      </w:r>
      <w:r>
        <w:rPr>
          <w:rFonts w:ascii="仿宋" w:hAnsi="仿宋" w:eastAsia="仿宋" w:cs="仿宋"/>
          <w:sz w:val="31"/>
          <w:szCs w:val="31"/>
        </w:rPr>
        <w:t>甲方的权利包括：</w:t>
      </w:r>
    </w:p>
    <w:p w14:paraId="7168F7ED">
      <w:pPr>
        <w:spacing w:before="240" w:line="300" w:lineRule="auto"/>
        <w:ind w:left="42" w:right="113" w:firstLine="627"/>
        <w:rPr>
          <w:rFonts w:ascii="仿宋" w:hAnsi="仿宋" w:eastAsia="仿宋" w:cs="仿宋"/>
          <w:sz w:val="31"/>
          <w:szCs w:val="31"/>
        </w:rPr>
      </w:pPr>
      <w:r>
        <w:rPr>
          <w:rFonts w:ascii="仿宋" w:hAnsi="仿宋" w:eastAsia="仿宋" w:cs="仿宋"/>
          <w:spacing w:val="7"/>
          <w:sz w:val="31"/>
          <w:szCs w:val="31"/>
        </w:rPr>
        <w:t>2.1.1 根据与属地供电企业签订的《供用电合同》，按照国家有关法规享受供电企业提供的有关接入和用电服务。</w:t>
      </w:r>
    </w:p>
    <w:p w14:paraId="214F1F6E">
      <w:pPr>
        <w:spacing w:before="241" w:line="226" w:lineRule="auto"/>
        <w:ind w:left="669"/>
        <w:rPr>
          <w:rFonts w:ascii="仿宋" w:hAnsi="仿宋" w:eastAsia="仿宋" w:cs="仿宋"/>
          <w:sz w:val="31"/>
          <w:szCs w:val="31"/>
        </w:rPr>
      </w:pPr>
      <w:r>
        <w:rPr>
          <w:rFonts w:ascii="仿宋" w:hAnsi="仿宋" w:eastAsia="仿宋" w:cs="仿宋"/>
          <w:spacing w:val="8"/>
          <w:sz w:val="31"/>
          <w:szCs w:val="31"/>
        </w:rPr>
        <w:t>2.1.2 获得乙方履行本合同义务相关的</w:t>
      </w:r>
      <w:r>
        <w:rPr>
          <w:rFonts w:ascii="仿宋" w:hAnsi="仿宋" w:eastAsia="仿宋" w:cs="仿宋"/>
          <w:spacing w:val="7"/>
          <w:sz w:val="31"/>
          <w:szCs w:val="31"/>
        </w:rPr>
        <w:t>信息、资料。</w:t>
      </w:r>
    </w:p>
    <w:p w14:paraId="6A0EFAF1">
      <w:pPr>
        <w:spacing w:before="245" w:line="227" w:lineRule="auto"/>
        <w:jc w:val="right"/>
        <w:rPr>
          <w:rFonts w:ascii="仿宋" w:hAnsi="仿宋" w:eastAsia="仿宋" w:cs="仿宋"/>
          <w:sz w:val="31"/>
          <w:szCs w:val="31"/>
        </w:rPr>
      </w:pPr>
      <w:r>
        <w:rPr>
          <w:rFonts w:ascii="仿宋" w:hAnsi="仿宋" w:eastAsia="仿宋" w:cs="仿宋"/>
          <w:spacing w:val="-2"/>
          <w:sz w:val="31"/>
          <w:szCs w:val="31"/>
        </w:rPr>
        <w:t>2.1.3</w:t>
      </w:r>
      <w:r>
        <w:rPr>
          <w:rFonts w:ascii="仿宋" w:hAnsi="仿宋" w:eastAsia="仿宋" w:cs="仿宋"/>
          <w:spacing w:val="64"/>
          <w:sz w:val="31"/>
          <w:szCs w:val="31"/>
        </w:rPr>
        <w:t xml:space="preserve"> </w:t>
      </w:r>
      <w:r>
        <w:rPr>
          <w:rFonts w:ascii="仿宋" w:hAnsi="仿宋" w:eastAsia="仿宋" w:cs="仿宋"/>
          <w:spacing w:val="-2"/>
          <w:sz w:val="31"/>
          <w:szCs w:val="31"/>
        </w:rPr>
        <w:t>国家法律法规、政策、交易规则规定的其他权利。</w:t>
      </w:r>
    </w:p>
    <w:p w14:paraId="087EAA9E">
      <w:pPr>
        <w:spacing w:before="243" w:line="228" w:lineRule="auto"/>
        <w:ind w:left="669"/>
        <w:rPr>
          <w:rFonts w:ascii="仿宋" w:hAnsi="仿宋" w:eastAsia="仿宋" w:cs="仿宋"/>
          <w:sz w:val="31"/>
          <w:szCs w:val="31"/>
        </w:rPr>
      </w:pPr>
      <w:r>
        <w:rPr>
          <w:rFonts w:ascii="仿宋" w:hAnsi="仿宋" w:eastAsia="仿宋" w:cs="仿宋"/>
          <w:sz w:val="31"/>
          <w:szCs w:val="31"/>
        </w:rPr>
        <w:t>2.2</w:t>
      </w:r>
      <w:r>
        <w:rPr>
          <w:rFonts w:ascii="仿宋" w:hAnsi="仿宋" w:eastAsia="仿宋" w:cs="仿宋"/>
          <w:spacing w:val="71"/>
          <w:sz w:val="31"/>
          <w:szCs w:val="31"/>
        </w:rPr>
        <w:t xml:space="preserve"> </w:t>
      </w:r>
      <w:r>
        <w:rPr>
          <w:rFonts w:ascii="仿宋" w:hAnsi="仿宋" w:eastAsia="仿宋" w:cs="仿宋"/>
          <w:sz w:val="31"/>
          <w:szCs w:val="31"/>
        </w:rPr>
        <w:t>甲方的义务包括：</w:t>
      </w:r>
    </w:p>
    <w:p w14:paraId="01911F53">
      <w:pPr>
        <w:spacing w:before="240" w:line="300" w:lineRule="auto"/>
        <w:ind w:left="41" w:right="170" w:firstLine="628"/>
        <w:rPr>
          <w:rFonts w:ascii="仿宋" w:hAnsi="仿宋" w:eastAsia="仿宋" w:cs="仿宋"/>
          <w:sz w:val="31"/>
          <w:szCs w:val="31"/>
        </w:rPr>
      </w:pPr>
      <w:r>
        <w:rPr>
          <w:rFonts w:ascii="仿宋" w:hAnsi="仿宋" w:eastAsia="仿宋" w:cs="仿宋"/>
          <w:spacing w:val="5"/>
          <w:sz w:val="31"/>
          <w:szCs w:val="31"/>
        </w:rPr>
        <w:t>2.2.1 按照省电力交易中心相关规定，提交注册资料，</w:t>
      </w:r>
      <w:r>
        <w:rPr>
          <w:rFonts w:ascii="仿宋" w:hAnsi="仿宋" w:eastAsia="仿宋" w:cs="仿宋"/>
          <w:spacing w:val="4"/>
          <w:sz w:val="31"/>
          <w:szCs w:val="31"/>
        </w:rPr>
        <w:t>完成市场注册。</w:t>
      </w:r>
    </w:p>
    <w:p w14:paraId="5782A098">
      <w:pPr>
        <w:spacing w:before="243" w:line="298" w:lineRule="auto"/>
        <w:ind w:left="40" w:right="111" w:firstLine="629"/>
        <w:rPr>
          <w:rFonts w:ascii="仿宋" w:hAnsi="仿宋" w:eastAsia="仿宋" w:cs="仿宋"/>
          <w:sz w:val="31"/>
          <w:szCs w:val="31"/>
        </w:rPr>
      </w:pPr>
      <w:r>
        <w:rPr>
          <w:rFonts w:ascii="仿宋" w:hAnsi="仿宋" w:eastAsia="仿宋" w:cs="仿宋"/>
          <w:spacing w:val="8"/>
          <w:sz w:val="31"/>
          <w:szCs w:val="31"/>
        </w:rPr>
        <w:t>2.2.2 根据实际用电需求，向乙方提供</w:t>
      </w:r>
      <w:r>
        <w:rPr>
          <w:rFonts w:ascii="仿宋" w:hAnsi="仿宋" w:eastAsia="仿宋" w:cs="仿宋"/>
          <w:spacing w:val="7"/>
          <w:sz w:val="31"/>
          <w:szCs w:val="31"/>
        </w:rPr>
        <w:t>代理合同意向电</w:t>
      </w:r>
      <w:r>
        <w:rPr>
          <w:rFonts w:ascii="仿宋" w:hAnsi="仿宋" w:eastAsia="仿宋" w:cs="仿宋"/>
          <w:spacing w:val="5"/>
          <w:sz w:val="31"/>
          <w:szCs w:val="31"/>
        </w:rPr>
        <w:t>量并在合同中明确。</w:t>
      </w:r>
    </w:p>
    <w:p w14:paraId="40A6CA82">
      <w:pPr>
        <w:spacing w:line="298" w:lineRule="auto"/>
        <w:rPr>
          <w:rFonts w:ascii="仿宋" w:hAnsi="仿宋" w:eastAsia="仿宋" w:cs="仿宋"/>
          <w:sz w:val="31"/>
          <w:szCs w:val="31"/>
        </w:rPr>
        <w:sectPr>
          <w:footerReference r:id="rId7" w:type="default"/>
          <w:pgSz w:w="11906" w:h="16839"/>
          <w:pgMar w:top="1431" w:right="1688" w:bottom="1427" w:left="1785" w:header="0" w:footer="1151" w:gutter="0"/>
          <w:cols w:space="720" w:num="1"/>
        </w:sectPr>
      </w:pPr>
    </w:p>
    <w:p w14:paraId="207AA98F">
      <w:pPr>
        <w:spacing w:before="162" w:line="228" w:lineRule="auto"/>
        <w:jc w:val="right"/>
        <w:rPr>
          <w:rFonts w:ascii="仿宋" w:hAnsi="仿宋" w:eastAsia="仿宋" w:cs="仿宋"/>
          <w:sz w:val="31"/>
          <w:szCs w:val="31"/>
        </w:rPr>
      </w:pPr>
      <w:r>
        <w:rPr>
          <w:rFonts w:ascii="仿宋" w:hAnsi="仿宋" w:eastAsia="仿宋" w:cs="仿宋"/>
          <w:sz w:val="31"/>
          <w:szCs w:val="31"/>
        </w:rPr>
        <w:t>2.2.3 按照安徽电力市场规则，承担偏差电费（如有）。</w:t>
      </w:r>
    </w:p>
    <w:p w14:paraId="68607C2F">
      <w:pPr>
        <w:spacing w:before="241" w:line="323" w:lineRule="auto"/>
        <w:ind w:left="37" w:right="113" w:firstLine="632"/>
        <w:rPr>
          <w:rFonts w:ascii="仿宋" w:hAnsi="仿宋" w:eastAsia="仿宋" w:cs="仿宋"/>
          <w:sz w:val="31"/>
          <w:szCs w:val="31"/>
        </w:rPr>
      </w:pPr>
      <w:r>
        <w:rPr>
          <w:rFonts w:ascii="仿宋" w:hAnsi="仿宋" w:eastAsia="仿宋" w:cs="仿宋"/>
          <w:spacing w:val="5"/>
          <w:sz w:val="31"/>
          <w:szCs w:val="31"/>
        </w:rPr>
        <w:t>2.2.4</w:t>
      </w:r>
      <w:r>
        <w:rPr>
          <w:rFonts w:ascii="仿宋" w:hAnsi="仿宋" w:eastAsia="仿宋" w:cs="仿宋"/>
          <w:spacing w:val="76"/>
          <w:sz w:val="31"/>
          <w:szCs w:val="31"/>
        </w:rPr>
        <w:t xml:space="preserve"> </w:t>
      </w:r>
      <w:r>
        <w:rPr>
          <w:rFonts w:ascii="仿宋" w:hAnsi="仿宋" w:eastAsia="仿宋" w:cs="仿宋"/>
          <w:spacing w:val="5"/>
          <w:sz w:val="31"/>
          <w:szCs w:val="31"/>
        </w:rPr>
        <w:t>向乙方提供与履行本合同相关的其他信息。如实</w:t>
      </w:r>
      <w:r>
        <w:rPr>
          <w:rFonts w:ascii="仿宋" w:hAnsi="仿宋" w:eastAsia="仿宋" w:cs="仿宋"/>
          <w:spacing w:val="8"/>
          <w:sz w:val="31"/>
          <w:szCs w:val="31"/>
        </w:rPr>
        <w:t>提供用户用电信息，配合乙方、供电企业及省电力交易中心</w:t>
      </w:r>
      <w:r>
        <w:rPr>
          <w:rFonts w:ascii="仿宋" w:hAnsi="仿宋" w:eastAsia="仿宋" w:cs="仿宋"/>
          <w:spacing w:val="5"/>
          <w:sz w:val="31"/>
          <w:szCs w:val="31"/>
        </w:rPr>
        <w:t>进行电力（电量）交易、</w:t>
      </w:r>
      <w:r>
        <w:rPr>
          <w:rFonts w:ascii="仿宋" w:hAnsi="仿宋" w:eastAsia="仿宋" w:cs="仿宋"/>
          <w:spacing w:val="-72"/>
          <w:sz w:val="31"/>
          <w:szCs w:val="31"/>
        </w:rPr>
        <w:t xml:space="preserve"> </w:t>
      </w:r>
      <w:r>
        <w:rPr>
          <w:rFonts w:ascii="仿宋" w:hAnsi="仿宋" w:eastAsia="仿宋" w:cs="仿宋"/>
          <w:spacing w:val="5"/>
          <w:sz w:val="31"/>
          <w:szCs w:val="31"/>
        </w:rPr>
        <w:t>电费结算、数据统计等工作。</w:t>
      </w:r>
    </w:p>
    <w:p w14:paraId="0707F4FF">
      <w:pPr>
        <w:spacing w:before="245" w:line="300" w:lineRule="auto"/>
        <w:ind w:left="70" w:right="113" w:firstLine="599"/>
        <w:rPr>
          <w:rFonts w:ascii="仿宋" w:hAnsi="仿宋" w:eastAsia="仿宋" w:cs="仿宋"/>
          <w:sz w:val="31"/>
          <w:szCs w:val="31"/>
        </w:rPr>
      </w:pPr>
      <w:r>
        <w:rPr>
          <w:rFonts w:ascii="仿宋" w:hAnsi="仿宋" w:eastAsia="仿宋" w:cs="仿宋"/>
          <w:spacing w:val="7"/>
          <w:sz w:val="31"/>
          <w:szCs w:val="31"/>
        </w:rPr>
        <w:t>2.2.5 根据法律法规、政策规定与供电企业签订《供用</w:t>
      </w:r>
      <w:r>
        <w:rPr>
          <w:rFonts w:ascii="仿宋" w:hAnsi="仿宋" w:eastAsia="仿宋" w:cs="仿宋"/>
          <w:spacing w:val="5"/>
          <w:sz w:val="31"/>
          <w:szCs w:val="31"/>
        </w:rPr>
        <w:t>电合同》，按时足额缴纳电费。</w:t>
      </w:r>
    </w:p>
    <w:p w14:paraId="0BD7FA74">
      <w:pPr>
        <w:spacing w:before="240" w:line="224" w:lineRule="auto"/>
        <w:ind w:left="669"/>
        <w:rPr>
          <w:rFonts w:ascii="仿宋" w:hAnsi="仿宋" w:eastAsia="仿宋" w:cs="仿宋"/>
          <w:sz w:val="31"/>
          <w:szCs w:val="31"/>
        </w:rPr>
      </w:pPr>
      <w:r>
        <w:rPr>
          <w:rFonts w:ascii="仿宋" w:hAnsi="仿宋" w:eastAsia="仿宋" w:cs="仿宋"/>
          <w:spacing w:val="4"/>
          <w:sz w:val="31"/>
          <w:szCs w:val="31"/>
        </w:rPr>
        <w:t>2.2.6</w:t>
      </w:r>
      <w:r>
        <w:rPr>
          <w:rFonts w:ascii="仿宋" w:hAnsi="仿宋" w:eastAsia="仿宋" w:cs="仿宋"/>
          <w:spacing w:val="79"/>
          <w:sz w:val="31"/>
          <w:szCs w:val="31"/>
        </w:rPr>
        <w:t xml:space="preserve"> </w:t>
      </w:r>
      <w:r>
        <w:rPr>
          <w:rFonts w:ascii="仿宋" w:hAnsi="仿宋" w:eastAsia="仿宋" w:cs="仿宋"/>
          <w:spacing w:val="4"/>
          <w:sz w:val="31"/>
          <w:szCs w:val="31"/>
        </w:rPr>
        <w:t>电力交易电量不得转供或变相转供。</w:t>
      </w:r>
    </w:p>
    <w:p w14:paraId="7648005C">
      <w:pPr>
        <w:spacing w:before="247" w:line="227" w:lineRule="auto"/>
        <w:jc w:val="right"/>
        <w:rPr>
          <w:rFonts w:ascii="仿宋" w:hAnsi="仿宋" w:eastAsia="仿宋" w:cs="仿宋"/>
          <w:sz w:val="31"/>
          <w:szCs w:val="31"/>
        </w:rPr>
      </w:pPr>
      <w:r>
        <w:rPr>
          <w:rFonts w:ascii="仿宋" w:hAnsi="仿宋" w:eastAsia="仿宋" w:cs="仿宋"/>
          <w:spacing w:val="-2"/>
          <w:sz w:val="31"/>
          <w:szCs w:val="31"/>
        </w:rPr>
        <w:t>2.2.7</w:t>
      </w:r>
      <w:r>
        <w:rPr>
          <w:rFonts w:ascii="仿宋" w:hAnsi="仿宋" w:eastAsia="仿宋" w:cs="仿宋"/>
          <w:spacing w:val="64"/>
          <w:sz w:val="31"/>
          <w:szCs w:val="31"/>
        </w:rPr>
        <w:t xml:space="preserve"> </w:t>
      </w:r>
      <w:r>
        <w:rPr>
          <w:rFonts w:ascii="仿宋" w:hAnsi="仿宋" w:eastAsia="仿宋" w:cs="仿宋"/>
          <w:spacing w:val="-2"/>
          <w:sz w:val="31"/>
          <w:szCs w:val="31"/>
        </w:rPr>
        <w:t>国家法律法规、政策、交易规则规定的其他义务。</w:t>
      </w:r>
    </w:p>
    <w:p w14:paraId="19AE1F42">
      <w:pPr>
        <w:spacing w:before="242" w:line="228" w:lineRule="auto"/>
        <w:ind w:left="669"/>
        <w:rPr>
          <w:rFonts w:ascii="仿宋" w:hAnsi="仿宋" w:eastAsia="仿宋" w:cs="仿宋"/>
          <w:sz w:val="31"/>
          <w:szCs w:val="31"/>
        </w:rPr>
      </w:pPr>
      <w:r>
        <w:rPr>
          <w:rFonts w:ascii="仿宋" w:hAnsi="仿宋" w:eastAsia="仿宋" w:cs="仿宋"/>
          <w:spacing w:val="2"/>
          <w:sz w:val="31"/>
          <w:szCs w:val="31"/>
        </w:rPr>
        <w:t>2.3</w:t>
      </w:r>
      <w:r>
        <w:rPr>
          <w:rFonts w:ascii="仿宋" w:hAnsi="仿宋" w:eastAsia="仿宋" w:cs="仿宋"/>
          <w:spacing w:val="49"/>
          <w:sz w:val="31"/>
          <w:szCs w:val="31"/>
        </w:rPr>
        <w:t xml:space="preserve"> </w:t>
      </w:r>
      <w:r>
        <w:rPr>
          <w:rFonts w:ascii="仿宋" w:hAnsi="仿宋" w:eastAsia="仿宋" w:cs="仿宋"/>
          <w:spacing w:val="2"/>
          <w:sz w:val="31"/>
          <w:szCs w:val="31"/>
        </w:rPr>
        <w:t>乙方的权利包括：</w:t>
      </w:r>
    </w:p>
    <w:p w14:paraId="450EB4F2">
      <w:pPr>
        <w:spacing w:before="243" w:line="299" w:lineRule="auto"/>
        <w:ind w:left="38" w:right="113" w:firstLine="630"/>
        <w:rPr>
          <w:rFonts w:ascii="仿宋" w:hAnsi="仿宋" w:eastAsia="仿宋" w:cs="仿宋"/>
          <w:sz w:val="31"/>
          <w:szCs w:val="31"/>
        </w:rPr>
      </w:pPr>
      <w:r>
        <w:rPr>
          <w:rFonts w:ascii="仿宋" w:hAnsi="仿宋" w:eastAsia="仿宋" w:cs="仿宋"/>
          <w:spacing w:val="7"/>
          <w:sz w:val="31"/>
          <w:szCs w:val="31"/>
        </w:rPr>
        <w:t>2.3.1 获得甲方提供履行本合同义务相关的信息、资料</w:t>
      </w:r>
      <w:r>
        <w:rPr>
          <w:rFonts w:ascii="仿宋" w:hAnsi="仿宋" w:eastAsia="仿宋" w:cs="仿宋"/>
          <w:spacing w:val="6"/>
          <w:sz w:val="31"/>
          <w:szCs w:val="31"/>
        </w:rPr>
        <w:t>及获得历史用电信息。</w:t>
      </w:r>
    </w:p>
    <w:p w14:paraId="46314C38">
      <w:pPr>
        <w:spacing w:before="244" w:line="300" w:lineRule="auto"/>
        <w:ind w:left="44" w:right="418" w:firstLine="625"/>
        <w:rPr>
          <w:rFonts w:ascii="仿宋" w:hAnsi="仿宋" w:eastAsia="仿宋" w:cs="仿宋"/>
          <w:sz w:val="31"/>
          <w:szCs w:val="31"/>
        </w:rPr>
      </w:pPr>
      <w:r>
        <w:rPr>
          <w:rFonts w:ascii="仿宋" w:hAnsi="仿宋" w:eastAsia="仿宋" w:cs="仿宋"/>
          <w:spacing w:val="8"/>
          <w:sz w:val="31"/>
          <w:szCs w:val="31"/>
        </w:rPr>
        <w:t>2.3.2 按相关政策规定和本合同约定获得电力市场相</w:t>
      </w:r>
      <w:r>
        <w:rPr>
          <w:rFonts w:ascii="仿宋" w:hAnsi="仿宋" w:eastAsia="仿宋" w:cs="仿宋"/>
          <w:spacing w:val="-1"/>
          <w:sz w:val="31"/>
          <w:szCs w:val="31"/>
        </w:rPr>
        <w:t>关费用。</w:t>
      </w:r>
    </w:p>
    <w:p w14:paraId="69951601">
      <w:pPr>
        <w:spacing w:before="239" w:line="227" w:lineRule="auto"/>
        <w:jc w:val="right"/>
        <w:rPr>
          <w:rFonts w:ascii="仿宋" w:hAnsi="仿宋" w:eastAsia="仿宋" w:cs="仿宋"/>
          <w:sz w:val="31"/>
          <w:szCs w:val="31"/>
        </w:rPr>
      </w:pPr>
      <w:r>
        <w:rPr>
          <w:rFonts w:ascii="仿宋" w:hAnsi="仿宋" w:eastAsia="仿宋" w:cs="仿宋"/>
          <w:spacing w:val="-2"/>
          <w:sz w:val="31"/>
          <w:szCs w:val="31"/>
        </w:rPr>
        <w:t>2.3.3</w:t>
      </w:r>
      <w:r>
        <w:rPr>
          <w:rFonts w:ascii="仿宋" w:hAnsi="仿宋" w:eastAsia="仿宋" w:cs="仿宋"/>
          <w:spacing w:val="64"/>
          <w:sz w:val="31"/>
          <w:szCs w:val="31"/>
        </w:rPr>
        <w:t xml:space="preserve"> </w:t>
      </w:r>
      <w:r>
        <w:rPr>
          <w:rFonts w:ascii="仿宋" w:hAnsi="仿宋" w:eastAsia="仿宋" w:cs="仿宋"/>
          <w:spacing w:val="-2"/>
          <w:sz w:val="31"/>
          <w:szCs w:val="31"/>
        </w:rPr>
        <w:t>国家法律法规、政策、交易规则规定的其他权利。</w:t>
      </w:r>
    </w:p>
    <w:p w14:paraId="00017B61">
      <w:pPr>
        <w:spacing w:before="242" w:line="229" w:lineRule="auto"/>
        <w:ind w:left="669"/>
        <w:rPr>
          <w:rFonts w:ascii="仿宋" w:hAnsi="仿宋" w:eastAsia="仿宋" w:cs="仿宋"/>
          <w:sz w:val="31"/>
          <w:szCs w:val="31"/>
        </w:rPr>
      </w:pPr>
      <w:r>
        <w:rPr>
          <w:rFonts w:ascii="仿宋" w:hAnsi="仿宋" w:eastAsia="仿宋" w:cs="仿宋"/>
          <w:spacing w:val="2"/>
          <w:sz w:val="31"/>
          <w:szCs w:val="31"/>
        </w:rPr>
        <w:t>2.4</w:t>
      </w:r>
      <w:r>
        <w:rPr>
          <w:rFonts w:ascii="仿宋" w:hAnsi="仿宋" w:eastAsia="仿宋" w:cs="仿宋"/>
          <w:spacing w:val="49"/>
          <w:sz w:val="31"/>
          <w:szCs w:val="31"/>
        </w:rPr>
        <w:t xml:space="preserve"> </w:t>
      </w:r>
      <w:r>
        <w:rPr>
          <w:rFonts w:ascii="仿宋" w:hAnsi="仿宋" w:eastAsia="仿宋" w:cs="仿宋"/>
          <w:spacing w:val="2"/>
          <w:sz w:val="31"/>
          <w:szCs w:val="31"/>
        </w:rPr>
        <w:t>乙方的义务包括：</w:t>
      </w:r>
    </w:p>
    <w:p w14:paraId="24C3F022">
      <w:pPr>
        <w:spacing w:before="239" w:line="300" w:lineRule="auto"/>
        <w:ind w:left="41" w:right="170" w:firstLine="628"/>
        <w:rPr>
          <w:rFonts w:ascii="仿宋" w:hAnsi="仿宋" w:eastAsia="仿宋" w:cs="仿宋"/>
          <w:sz w:val="31"/>
          <w:szCs w:val="31"/>
        </w:rPr>
      </w:pPr>
      <w:r>
        <w:rPr>
          <w:rFonts w:ascii="仿宋" w:hAnsi="仿宋" w:eastAsia="仿宋" w:cs="仿宋"/>
          <w:spacing w:val="5"/>
          <w:sz w:val="31"/>
          <w:szCs w:val="31"/>
        </w:rPr>
        <w:t>2.4.1 按照省电力交易中心相关规定，提交注册资料，</w:t>
      </w:r>
      <w:r>
        <w:rPr>
          <w:rFonts w:ascii="仿宋" w:hAnsi="仿宋" w:eastAsia="仿宋" w:cs="仿宋"/>
          <w:spacing w:val="4"/>
          <w:sz w:val="31"/>
          <w:szCs w:val="31"/>
        </w:rPr>
        <w:t>完成市场注册。</w:t>
      </w:r>
    </w:p>
    <w:p w14:paraId="12EE4602">
      <w:pPr>
        <w:spacing w:before="241" w:line="300" w:lineRule="auto"/>
        <w:ind w:left="37" w:right="113" w:firstLine="632"/>
        <w:rPr>
          <w:rFonts w:ascii="仿宋" w:hAnsi="仿宋" w:eastAsia="仿宋" w:cs="仿宋"/>
          <w:sz w:val="31"/>
          <w:szCs w:val="31"/>
        </w:rPr>
      </w:pPr>
      <w:r>
        <w:rPr>
          <w:rFonts w:ascii="仿宋" w:hAnsi="仿宋" w:eastAsia="仿宋" w:cs="仿宋"/>
          <w:spacing w:val="7"/>
          <w:sz w:val="31"/>
          <w:szCs w:val="31"/>
        </w:rPr>
        <w:t>2.4.2 按照安徽电力市场规则，参与电力直接交易，承</w:t>
      </w:r>
      <w:r>
        <w:rPr>
          <w:rFonts w:ascii="仿宋" w:hAnsi="仿宋" w:eastAsia="仿宋" w:cs="仿宋"/>
          <w:spacing w:val="5"/>
          <w:sz w:val="31"/>
          <w:szCs w:val="31"/>
        </w:rPr>
        <w:t>担偏差电费（如有）。</w:t>
      </w:r>
    </w:p>
    <w:p w14:paraId="07374102">
      <w:pPr>
        <w:spacing w:before="240" w:line="300" w:lineRule="auto"/>
        <w:ind w:left="34" w:right="111" w:firstLine="635"/>
        <w:rPr>
          <w:rFonts w:ascii="仿宋" w:hAnsi="仿宋" w:eastAsia="仿宋" w:cs="仿宋"/>
          <w:sz w:val="31"/>
          <w:szCs w:val="31"/>
        </w:rPr>
      </w:pPr>
      <w:r>
        <w:rPr>
          <w:rFonts w:ascii="仿宋" w:hAnsi="仿宋" w:eastAsia="仿宋" w:cs="仿宋"/>
          <w:spacing w:val="8"/>
          <w:sz w:val="31"/>
          <w:szCs w:val="31"/>
        </w:rPr>
        <w:t>2.4.3 按照国家有关法律法规、政策、</w:t>
      </w:r>
      <w:r>
        <w:rPr>
          <w:rFonts w:ascii="仿宋" w:hAnsi="仿宋" w:eastAsia="仿宋" w:cs="仿宋"/>
          <w:spacing w:val="7"/>
          <w:sz w:val="31"/>
          <w:szCs w:val="31"/>
        </w:rPr>
        <w:t>交易规则和技术</w:t>
      </w:r>
      <w:r>
        <w:rPr>
          <w:rFonts w:ascii="仿宋" w:hAnsi="仿宋" w:eastAsia="仿宋" w:cs="仿宋"/>
          <w:spacing w:val="8"/>
          <w:sz w:val="31"/>
          <w:szCs w:val="31"/>
        </w:rPr>
        <w:t>规范，代理甲方参加电力直接交易。</w:t>
      </w:r>
    </w:p>
    <w:p w14:paraId="0C3B6848">
      <w:pPr>
        <w:spacing w:before="242" w:line="228" w:lineRule="auto"/>
        <w:ind w:left="669"/>
        <w:rPr>
          <w:rFonts w:ascii="仿宋" w:hAnsi="仿宋" w:eastAsia="仿宋" w:cs="仿宋"/>
          <w:sz w:val="31"/>
          <w:szCs w:val="31"/>
        </w:rPr>
      </w:pPr>
      <w:r>
        <w:rPr>
          <w:rFonts w:ascii="仿宋" w:hAnsi="仿宋" w:eastAsia="仿宋" w:cs="仿宋"/>
          <w:spacing w:val="5"/>
          <w:sz w:val="31"/>
          <w:szCs w:val="31"/>
        </w:rPr>
        <w:t>2.4.4</w:t>
      </w:r>
      <w:r>
        <w:rPr>
          <w:rFonts w:ascii="仿宋" w:hAnsi="仿宋" w:eastAsia="仿宋" w:cs="仿宋"/>
          <w:spacing w:val="87"/>
          <w:sz w:val="31"/>
          <w:szCs w:val="31"/>
        </w:rPr>
        <w:t xml:space="preserve"> </w:t>
      </w:r>
      <w:r>
        <w:rPr>
          <w:rFonts w:ascii="仿宋" w:hAnsi="仿宋" w:eastAsia="仿宋" w:cs="仿宋"/>
          <w:spacing w:val="5"/>
          <w:sz w:val="31"/>
          <w:szCs w:val="31"/>
        </w:rPr>
        <w:t>向甲方提供真实准确的有关电力直接交易与本</w:t>
      </w:r>
    </w:p>
    <w:p w14:paraId="05C5FA3D">
      <w:pPr>
        <w:spacing w:line="228" w:lineRule="auto"/>
        <w:rPr>
          <w:rFonts w:ascii="仿宋" w:hAnsi="仿宋" w:eastAsia="仿宋" w:cs="仿宋"/>
          <w:sz w:val="31"/>
          <w:szCs w:val="31"/>
        </w:rPr>
        <w:sectPr>
          <w:footerReference r:id="rId8" w:type="default"/>
          <w:pgSz w:w="11906" w:h="16839"/>
          <w:pgMar w:top="1431" w:right="1688" w:bottom="1427" w:left="1785" w:header="0" w:footer="1150" w:gutter="0"/>
          <w:cols w:space="720" w:num="1"/>
        </w:sectPr>
      </w:pPr>
    </w:p>
    <w:p w14:paraId="6BBC8ECA">
      <w:pPr>
        <w:spacing w:before="161" w:line="372" w:lineRule="auto"/>
        <w:ind w:left="53" w:right="113" w:hanging="17"/>
        <w:rPr>
          <w:rFonts w:ascii="仿宋" w:hAnsi="仿宋" w:eastAsia="仿宋" w:cs="仿宋"/>
          <w:sz w:val="31"/>
          <w:szCs w:val="31"/>
        </w:rPr>
      </w:pPr>
      <w:r>
        <w:rPr>
          <w:rFonts w:ascii="仿宋" w:hAnsi="仿宋" w:eastAsia="仿宋" w:cs="仿宋"/>
          <w:spacing w:val="8"/>
          <w:sz w:val="31"/>
          <w:szCs w:val="31"/>
        </w:rPr>
        <w:t>零售合同约定的相关信息及资料，不得提供虚假的或误导性</w:t>
      </w:r>
      <w:r>
        <w:rPr>
          <w:rFonts w:ascii="仿宋" w:hAnsi="仿宋" w:eastAsia="仿宋" w:cs="仿宋"/>
          <w:spacing w:val="-3"/>
          <w:sz w:val="31"/>
          <w:szCs w:val="31"/>
        </w:rPr>
        <w:t>的信息。</w:t>
      </w:r>
    </w:p>
    <w:p w14:paraId="790B66CC">
      <w:pPr>
        <w:spacing w:before="1" w:line="225" w:lineRule="auto"/>
        <w:ind w:left="669"/>
        <w:rPr>
          <w:rFonts w:ascii="仿宋" w:hAnsi="仿宋" w:eastAsia="仿宋" w:cs="仿宋"/>
          <w:sz w:val="31"/>
          <w:szCs w:val="31"/>
        </w:rPr>
      </w:pPr>
      <w:r>
        <w:rPr>
          <w:rFonts w:ascii="仿宋" w:hAnsi="仿宋" w:eastAsia="仿宋" w:cs="仿宋"/>
          <w:spacing w:val="7"/>
          <w:sz w:val="31"/>
          <w:szCs w:val="31"/>
        </w:rPr>
        <w:t>2.4.5 协助甲方申请办理电力交易有关手续。</w:t>
      </w:r>
    </w:p>
    <w:p w14:paraId="752424A1">
      <w:pPr>
        <w:spacing w:before="246" w:line="299" w:lineRule="auto"/>
        <w:ind w:left="36" w:right="113" w:firstLine="633"/>
        <w:rPr>
          <w:rFonts w:ascii="仿宋" w:hAnsi="仿宋" w:eastAsia="仿宋" w:cs="仿宋"/>
          <w:sz w:val="31"/>
          <w:szCs w:val="31"/>
        </w:rPr>
      </w:pPr>
      <w:r>
        <w:rPr>
          <w:rFonts w:ascii="仿宋" w:hAnsi="仿宋" w:eastAsia="仿宋" w:cs="仿宋"/>
          <w:spacing w:val="5"/>
          <w:sz w:val="31"/>
          <w:szCs w:val="31"/>
        </w:rPr>
        <w:t>2.4.6</w:t>
      </w:r>
      <w:r>
        <w:rPr>
          <w:rFonts w:ascii="仿宋" w:hAnsi="仿宋" w:eastAsia="仿宋" w:cs="仿宋"/>
          <w:spacing w:val="76"/>
          <w:sz w:val="31"/>
          <w:szCs w:val="31"/>
        </w:rPr>
        <w:t xml:space="preserve"> </w:t>
      </w:r>
      <w:r>
        <w:rPr>
          <w:rFonts w:ascii="仿宋" w:hAnsi="仿宋" w:eastAsia="仿宋" w:cs="仿宋"/>
          <w:spacing w:val="5"/>
          <w:sz w:val="31"/>
          <w:szCs w:val="31"/>
        </w:rPr>
        <w:t>向甲方、供电企业及省电力交易中心提供与履行</w:t>
      </w:r>
      <w:r>
        <w:rPr>
          <w:rFonts w:ascii="仿宋" w:hAnsi="仿宋" w:eastAsia="仿宋" w:cs="仿宋"/>
          <w:spacing w:val="6"/>
          <w:sz w:val="31"/>
          <w:szCs w:val="31"/>
        </w:rPr>
        <w:t>本合同相关的其他信息。</w:t>
      </w:r>
    </w:p>
    <w:p w14:paraId="2BAD4BC4">
      <w:pPr>
        <w:spacing w:before="244" w:line="300" w:lineRule="auto"/>
        <w:ind w:left="44" w:right="418" w:firstLine="625"/>
        <w:rPr>
          <w:rFonts w:ascii="仿宋" w:hAnsi="仿宋" w:eastAsia="仿宋" w:cs="仿宋"/>
          <w:sz w:val="31"/>
          <w:szCs w:val="31"/>
        </w:rPr>
      </w:pPr>
      <w:r>
        <w:rPr>
          <w:rFonts w:ascii="仿宋" w:hAnsi="仿宋" w:eastAsia="仿宋" w:cs="仿宋"/>
          <w:spacing w:val="8"/>
          <w:sz w:val="31"/>
          <w:szCs w:val="31"/>
        </w:rPr>
        <w:t>2.4.7 按相关政策规定和本合同约定支出电力市场相</w:t>
      </w:r>
      <w:r>
        <w:rPr>
          <w:rFonts w:ascii="仿宋" w:hAnsi="仿宋" w:eastAsia="仿宋" w:cs="仿宋"/>
          <w:spacing w:val="-1"/>
          <w:sz w:val="31"/>
          <w:szCs w:val="31"/>
        </w:rPr>
        <w:t>关费用。</w:t>
      </w:r>
    </w:p>
    <w:p w14:paraId="5C25334F">
      <w:pPr>
        <w:spacing w:before="239" w:line="227" w:lineRule="auto"/>
        <w:jc w:val="right"/>
        <w:rPr>
          <w:rFonts w:ascii="仿宋" w:hAnsi="仿宋" w:eastAsia="仿宋" w:cs="仿宋"/>
          <w:sz w:val="31"/>
          <w:szCs w:val="31"/>
        </w:rPr>
      </w:pPr>
      <w:r>
        <w:rPr>
          <w:rFonts w:ascii="仿宋" w:hAnsi="仿宋" w:eastAsia="仿宋" w:cs="仿宋"/>
          <w:spacing w:val="-2"/>
          <w:sz w:val="31"/>
          <w:szCs w:val="31"/>
        </w:rPr>
        <w:t>2.4.8</w:t>
      </w:r>
      <w:r>
        <w:rPr>
          <w:rFonts w:ascii="仿宋" w:hAnsi="仿宋" w:eastAsia="仿宋" w:cs="仿宋"/>
          <w:spacing w:val="64"/>
          <w:sz w:val="31"/>
          <w:szCs w:val="31"/>
        </w:rPr>
        <w:t xml:space="preserve"> </w:t>
      </w:r>
      <w:r>
        <w:rPr>
          <w:rFonts w:ascii="仿宋" w:hAnsi="仿宋" w:eastAsia="仿宋" w:cs="仿宋"/>
          <w:spacing w:val="-2"/>
          <w:sz w:val="31"/>
          <w:szCs w:val="31"/>
        </w:rPr>
        <w:t>国家法律法规、政策、交易规则规定的其他义务。</w:t>
      </w:r>
    </w:p>
    <w:p w14:paraId="3CA9B10C">
      <w:pPr>
        <w:spacing w:before="242" w:line="299" w:lineRule="auto"/>
        <w:ind w:left="42" w:right="113" w:firstLine="627"/>
        <w:rPr>
          <w:rFonts w:ascii="仿宋" w:hAnsi="仿宋" w:eastAsia="仿宋" w:cs="仿宋"/>
          <w:sz w:val="31"/>
          <w:szCs w:val="31"/>
        </w:rPr>
      </w:pPr>
      <w:r>
        <w:rPr>
          <w:rFonts w:ascii="仿宋" w:hAnsi="仿宋" w:eastAsia="仿宋" w:cs="仿宋"/>
          <w:spacing w:val="5"/>
          <w:sz w:val="31"/>
          <w:szCs w:val="31"/>
        </w:rPr>
        <w:t>2.5</w:t>
      </w:r>
      <w:r>
        <w:rPr>
          <w:rFonts w:ascii="仿宋" w:hAnsi="仿宋" w:eastAsia="仿宋" w:cs="仿宋"/>
          <w:spacing w:val="81"/>
          <w:sz w:val="31"/>
          <w:szCs w:val="31"/>
        </w:rPr>
        <w:t xml:space="preserve"> </w:t>
      </w:r>
      <w:r>
        <w:rPr>
          <w:rFonts w:ascii="仿宋" w:hAnsi="仿宋" w:eastAsia="仿宋" w:cs="仿宋"/>
          <w:spacing w:val="5"/>
          <w:sz w:val="31"/>
          <w:szCs w:val="31"/>
        </w:rPr>
        <w:t>甲乙双方约定在合同有效期内，甲方同意乙方通过</w:t>
      </w:r>
      <w:r>
        <w:rPr>
          <w:rFonts w:ascii="仿宋" w:hAnsi="仿宋" w:eastAsia="仿宋" w:cs="仿宋"/>
          <w:spacing w:val="9"/>
          <w:sz w:val="31"/>
          <w:szCs w:val="31"/>
        </w:rPr>
        <w:t>交易平台或供电企业营销业务系统查询甲方</w:t>
      </w:r>
      <w:r>
        <w:rPr>
          <w:rFonts w:ascii="仿宋" w:hAnsi="仿宋" w:eastAsia="仿宋" w:cs="仿宋"/>
          <w:spacing w:val="8"/>
          <w:sz w:val="31"/>
          <w:szCs w:val="31"/>
        </w:rPr>
        <w:t>历史用电曲线</w:t>
      </w:r>
    </w:p>
    <w:p w14:paraId="799C51D6">
      <w:pPr>
        <w:spacing w:before="243" w:line="229" w:lineRule="auto"/>
        <w:ind w:left="67"/>
        <w:rPr>
          <w:rFonts w:ascii="仿宋" w:hAnsi="仿宋" w:eastAsia="仿宋" w:cs="仿宋"/>
          <w:sz w:val="31"/>
          <w:szCs w:val="31"/>
        </w:rPr>
      </w:pPr>
      <w:r>
        <w:rPr>
          <w:rFonts w:ascii="仿宋" w:hAnsi="仿宋" w:eastAsia="仿宋" w:cs="仿宋"/>
          <w:spacing w:val="3"/>
          <w:sz w:val="31"/>
          <w:szCs w:val="31"/>
        </w:rPr>
        <w:t>以及分时用电数据等。</w:t>
      </w:r>
    </w:p>
    <w:p w14:paraId="2D5E1225">
      <w:pPr>
        <w:spacing w:before="242" w:line="335" w:lineRule="auto"/>
        <w:ind w:left="35" w:right="111" w:firstLine="634"/>
        <w:rPr>
          <w:rFonts w:ascii="仿宋" w:hAnsi="仿宋" w:eastAsia="仿宋" w:cs="仿宋"/>
          <w:sz w:val="31"/>
          <w:szCs w:val="31"/>
        </w:rPr>
      </w:pPr>
      <w:r>
        <w:rPr>
          <w:rFonts w:ascii="仿宋" w:hAnsi="仿宋" w:eastAsia="仿宋" w:cs="仿宋"/>
          <w:spacing w:val="8"/>
          <w:sz w:val="31"/>
          <w:szCs w:val="31"/>
        </w:rPr>
        <w:t>2.6 除双方另行约定外，本合同约定甲方委托乙方</w:t>
      </w:r>
      <w:r>
        <w:rPr>
          <w:rFonts w:ascii="仿宋" w:hAnsi="仿宋" w:eastAsia="仿宋" w:cs="仿宋"/>
          <w:spacing w:val="7"/>
          <w:sz w:val="31"/>
          <w:szCs w:val="31"/>
        </w:rPr>
        <w:t>参与</w:t>
      </w:r>
      <w:r>
        <w:rPr>
          <w:rFonts w:ascii="仿宋" w:hAnsi="仿宋" w:eastAsia="仿宋" w:cs="仿宋"/>
          <w:spacing w:val="8"/>
          <w:sz w:val="31"/>
          <w:szCs w:val="31"/>
        </w:rPr>
        <w:t>合同期内电力中长期、现货及绿电等电力直接交易。若甲方在供电企业营销系统具有多个用电户号，对应工商业用电量均由乙方代理，按本合同约定内容执行。</w:t>
      </w:r>
    </w:p>
    <w:p w14:paraId="709DED95">
      <w:pPr>
        <w:spacing w:before="243" w:line="300" w:lineRule="auto"/>
        <w:ind w:left="41" w:right="113" w:firstLine="628"/>
        <w:rPr>
          <w:rFonts w:ascii="仿宋" w:hAnsi="仿宋" w:eastAsia="仿宋" w:cs="仿宋"/>
          <w:sz w:val="31"/>
          <w:szCs w:val="31"/>
        </w:rPr>
      </w:pPr>
      <w:r>
        <w:rPr>
          <w:rFonts w:ascii="仿宋" w:hAnsi="仿宋" w:eastAsia="仿宋" w:cs="仿宋"/>
          <w:spacing w:val="6"/>
          <w:sz w:val="31"/>
          <w:szCs w:val="31"/>
        </w:rPr>
        <w:t>2.7</w:t>
      </w:r>
      <w:r>
        <w:rPr>
          <w:rFonts w:ascii="仿宋" w:hAnsi="仿宋" w:eastAsia="仿宋" w:cs="仿宋"/>
          <w:spacing w:val="56"/>
          <w:sz w:val="31"/>
          <w:szCs w:val="31"/>
        </w:rPr>
        <w:t xml:space="preserve"> </w:t>
      </w:r>
      <w:r>
        <w:rPr>
          <w:rFonts w:ascii="仿宋" w:hAnsi="仿宋" w:eastAsia="仿宋" w:cs="仿宋"/>
          <w:spacing w:val="6"/>
          <w:sz w:val="31"/>
          <w:szCs w:val="31"/>
        </w:rPr>
        <w:t>乙方完成批发市场直接交易后，应及时将交易结果</w:t>
      </w:r>
      <w:r>
        <w:rPr>
          <w:rFonts w:ascii="仿宋" w:hAnsi="仿宋" w:eastAsia="仿宋" w:cs="仿宋"/>
          <w:spacing w:val="2"/>
          <w:sz w:val="31"/>
          <w:szCs w:val="31"/>
        </w:rPr>
        <w:t>通知甲方。</w:t>
      </w:r>
    </w:p>
    <w:p w14:paraId="134723B9">
      <w:pPr>
        <w:spacing w:before="238" w:line="343" w:lineRule="auto"/>
        <w:ind w:left="35" w:right="23" w:firstLine="634"/>
        <w:rPr>
          <w:rFonts w:ascii="仿宋" w:hAnsi="仿宋" w:eastAsia="仿宋" w:cs="仿宋"/>
          <w:sz w:val="31"/>
          <w:szCs w:val="31"/>
        </w:rPr>
      </w:pPr>
      <w:r>
        <w:rPr>
          <w:rFonts w:ascii="仿宋" w:hAnsi="仿宋" w:eastAsia="仿宋" w:cs="仿宋"/>
          <w:spacing w:val="8"/>
          <w:sz w:val="31"/>
          <w:szCs w:val="31"/>
        </w:rPr>
        <w:t>2.8 合同有效期内，因国家或安徽省电力市场相关</w:t>
      </w:r>
      <w:r>
        <w:rPr>
          <w:rFonts w:ascii="仿宋" w:hAnsi="仿宋" w:eastAsia="仿宋" w:cs="仿宋"/>
          <w:spacing w:val="7"/>
          <w:sz w:val="31"/>
          <w:szCs w:val="31"/>
        </w:rPr>
        <w:t>法律</w:t>
      </w:r>
      <w:r>
        <w:rPr>
          <w:rFonts w:ascii="仿宋" w:hAnsi="仿宋" w:eastAsia="仿宋" w:cs="仿宋"/>
          <w:sz w:val="31"/>
          <w:szCs w:val="31"/>
        </w:rPr>
        <w:t>法规、政策、交易规则发生重大调整，导致合同无法执行时，</w:t>
      </w:r>
      <w:r>
        <w:rPr>
          <w:rFonts w:ascii="仿宋" w:hAnsi="仿宋" w:eastAsia="仿宋" w:cs="仿宋"/>
          <w:spacing w:val="8"/>
          <w:sz w:val="31"/>
          <w:szCs w:val="31"/>
        </w:rPr>
        <w:t>按国家或安徽省相关法律法规、政策、交易规则执行，必要时应根据政府有关部门要求，甲乙双方经协商一致后重新签</w:t>
      </w:r>
      <w:r>
        <w:rPr>
          <w:rFonts w:ascii="仿宋" w:hAnsi="仿宋" w:eastAsia="仿宋" w:cs="仿宋"/>
          <w:spacing w:val="7"/>
          <w:sz w:val="31"/>
          <w:szCs w:val="31"/>
        </w:rPr>
        <w:t>订合同或对合同内容进行修改。</w:t>
      </w:r>
    </w:p>
    <w:p w14:paraId="6A70BF15">
      <w:pPr>
        <w:spacing w:line="343" w:lineRule="auto"/>
        <w:rPr>
          <w:rFonts w:ascii="仿宋" w:hAnsi="仿宋" w:eastAsia="仿宋" w:cs="仿宋"/>
          <w:sz w:val="31"/>
          <w:szCs w:val="31"/>
        </w:rPr>
        <w:sectPr>
          <w:footerReference r:id="rId9" w:type="default"/>
          <w:pgSz w:w="11906" w:h="16839"/>
          <w:pgMar w:top="1431" w:right="1688" w:bottom="1427" w:left="1785" w:header="0" w:footer="1151" w:gutter="0"/>
          <w:cols w:space="720" w:num="1"/>
        </w:sectPr>
      </w:pPr>
    </w:p>
    <w:p w14:paraId="2AA41241">
      <w:pPr>
        <w:spacing w:before="141" w:line="223" w:lineRule="auto"/>
        <w:ind w:left="2392"/>
        <w:outlineLvl w:val="0"/>
        <w:rPr>
          <w:rFonts w:ascii="黑体" w:hAnsi="黑体" w:eastAsia="黑体" w:cs="黑体"/>
          <w:sz w:val="35"/>
          <w:szCs w:val="35"/>
        </w:rPr>
      </w:pPr>
      <w:r>
        <w:rPr>
          <w:rFonts w:ascii="黑体" w:hAnsi="黑体" w:eastAsia="黑体" w:cs="黑体"/>
          <w:spacing w:val="7"/>
          <w:sz w:val="35"/>
          <w:szCs w:val="35"/>
        </w:rPr>
        <w:t>三、电价、计量与结算</w:t>
      </w:r>
    </w:p>
    <w:p w14:paraId="37A1C987">
      <w:pPr>
        <w:spacing w:before="222" w:line="351" w:lineRule="auto"/>
        <w:ind w:left="36" w:right="13" w:firstLine="636"/>
        <w:rPr>
          <w:rFonts w:ascii="仿宋" w:hAnsi="仿宋" w:eastAsia="仿宋" w:cs="仿宋"/>
          <w:sz w:val="31"/>
          <w:szCs w:val="31"/>
        </w:rPr>
      </w:pPr>
      <w:r>
        <w:rPr>
          <w:rFonts w:ascii="仿宋" w:hAnsi="仿宋" w:eastAsia="仿宋" w:cs="仿宋"/>
          <w:spacing w:val="10"/>
          <w:sz w:val="31"/>
          <w:szCs w:val="31"/>
        </w:rPr>
        <w:t>3.1</w:t>
      </w:r>
      <w:r>
        <w:rPr>
          <w:rFonts w:ascii="仿宋" w:hAnsi="仿宋" w:eastAsia="仿宋" w:cs="仿宋"/>
          <w:spacing w:val="-50"/>
          <w:sz w:val="31"/>
          <w:szCs w:val="31"/>
        </w:rPr>
        <w:t xml:space="preserve"> </w:t>
      </w:r>
      <w:r>
        <w:rPr>
          <w:rFonts w:ascii="仿宋" w:hAnsi="仿宋" w:eastAsia="仿宋" w:cs="仿宋"/>
          <w:spacing w:val="10"/>
          <w:sz w:val="31"/>
          <w:szCs w:val="31"/>
        </w:rPr>
        <w:t>本合同中约定的电价(含税)均指市场化交</w:t>
      </w:r>
      <w:r>
        <w:rPr>
          <w:rFonts w:ascii="仿宋" w:hAnsi="仿宋" w:eastAsia="仿宋" w:cs="仿宋"/>
          <w:spacing w:val="9"/>
          <w:sz w:val="31"/>
          <w:szCs w:val="31"/>
        </w:rPr>
        <w:t>易成交电</w:t>
      </w:r>
      <w:r>
        <w:rPr>
          <w:rFonts w:ascii="仿宋" w:hAnsi="仿宋" w:eastAsia="仿宋" w:cs="仿宋"/>
          <w:spacing w:val="8"/>
          <w:sz w:val="31"/>
          <w:szCs w:val="31"/>
        </w:rPr>
        <w:t>价，即售电公司代理用户参加市场交易的电价，不含上网环节线损费用、输配电价、系统运行费用、政府性基金及附加等。甲方实际市场化购电费结算电价需在上述市场化交易成交电价的基础上加上上网环节线损费用、输配电价、系统运行费用、政府性基金及附加等。分摊（享）等费用按相关市</w:t>
      </w:r>
      <w:r>
        <w:rPr>
          <w:rFonts w:ascii="仿宋" w:hAnsi="仿宋" w:eastAsia="仿宋" w:cs="仿宋"/>
          <w:spacing w:val="4"/>
          <w:sz w:val="31"/>
          <w:szCs w:val="31"/>
        </w:rPr>
        <w:t>场规则计算。</w:t>
      </w:r>
    </w:p>
    <w:p w14:paraId="7068F9BC">
      <w:pPr>
        <w:spacing w:before="243" w:line="323" w:lineRule="auto"/>
        <w:ind w:left="36" w:right="16" w:firstLine="636"/>
        <w:rPr>
          <w:rFonts w:ascii="仿宋" w:hAnsi="仿宋" w:eastAsia="仿宋" w:cs="仿宋"/>
          <w:sz w:val="31"/>
          <w:szCs w:val="31"/>
        </w:rPr>
      </w:pPr>
      <w:r>
        <w:rPr>
          <w:rFonts w:ascii="仿宋" w:hAnsi="仿宋" w:eastAsia="仿宋" w:cs="仿宋"/>
          <w:spacing w:val="18"/>
          <w:sz w:val="31"/>
          <w:szCs w:val="31"/>
        </w:rPr>
        <w:t>3.2</w:t>
      </w:r>
      <w:r>
        <w:rPr>
          <w:rFonts w:ascii="仿宋" w:hAnsi="仿宋" w:eastAsia="仿宋" w:cs="仿宋"/>
          <w:spacing w:val="82"/>
          <w:sz w:val="31"/>
          <w:szCs w:val="31"/>
        </w:rPr>
        <w:t xml:space="preserve"> </w:t>
      </w:r>
      <w:r>
        <w:rPr>
          <w:rFonts w:ascii="仿宋" w:hAnsi="仿宋" w:eastAsia="仿宋" w:cs="仿宋"/>
          <w:spacing w:val="18"/>
          <w:sz w:val="31"/>
          <w:szCs w:val="31"/>
        </w:rPr>
        <w:t>甲方结算电量以甲方与电网企业签订的供用电合同</w:t>
      </w:r>
      <w:r>
        <w:rPr>
          <w:rFonts w:ascii="仿宋" w:hAnsi="仿宋" w:eastAsia="仿宋" w:cs="仿宋"/>
          <w:spacing w:val="-75"/>
          <w:sz w:val="31"/>
          <w:szCs w:val="31"/>
        </w:rPr>
        <w:t xml:space="preserve"> </w:t>
      </w:r>
      <w:r>
        <w:rPr>
          <w:rFonts w:ascii="仿宋" w:hAnsi="仿宋" w:eastAsia="仿宋" w:cs="仿宋"/>
          <w:spacing w:val="18"/>
          <w:sz w:val="31"/>
          <w:szCs w:val="31"/>
        </w:rPr>
        <w:t>中所约定的抄表时间抄录和计量点关口表计量数据为依</w:t>
      </w:r>
      <w:r>
        <w:rPr>
          <w:rFonts w:ascii="仿宋" w:hAnsi="仿宋" w:eastAsia="仿宋" w:cs="仿宋"/>
          <w:spacing w:val="8"/>
          <w:sz w:val="31"/>
          <w:szCs w:val="31"/>
        </w:rPr>
        <w:t>据，省电力交易中心按照甲方实际用电量进行结算。</w:t>
      </w:r>
    </w:p>
    <w:p w14:paraId="70E31AFA">
      <w:pPr>
        <w:spacing w:before="239" w:line="348" w:lineRule="auto"/>
        <w:ind w:left="30" w:right="13" w:firstLine="642"/>
        <w:rPr>
          <w:rFonts w:ascii="仿宋" w:hAnsi="仿宋" w:eastAsia="仿宋" w:cs="仿宋"/>
          <w:sz w:val="31"/>
          <w:szCs w:val="31"/>
        </w:rPr>
      </w:pPr>
      <w:r>
        <w:rPr>
          <w:rFonts w:ascii="仿宋" w:hAnsi="仿宋" w:eastAsia="仿宋" w:cs="仿宋"/>
          <w:spacing w:val="8"/>
          <w:sz w:val="31"/>
          <w:szCs w:val="31"/>
        </w:rPr>
        <w:t>3.3 在本合同执行期内，省电力交易中心依据</w:t>
      </w:r>
      <w:r>
        <w:rPr>
          <w:rFonts w:ascii="仿宋" w:hAnsi="仿宋" w:eastAsia="仿宋" w:cs="仿宋"/>
          <w:spacing w:val="7"/>
          <w:sz w:val="31"/>
          <w:szCs w:val="31"/>
        </w:rPr>
        <w:t>国家及安</w:t>
      </w:r>
      <w:r>
        <w:rPr>
          <w:rFonts w:ascii="仿宋" w:hAnsi="仿宋" w:eastAsia="仿宋" w:cs="仿宋"/>
          <w:spacing w:val="8"/>
          <w:sz w:val="31"/>
          <w:szCs w:val="31"/>
        </w:rPr>
        <w:t>徽省电力市场有关政策文件、交易规则等规定，按照合同双</w:t>
      </w:r>
      <w:r>
        <w:rPr>
          <w:rFonts w:ascii="仿宋" w:hAnsi="仿宋" w:eastAsia="仿宋" w:cs="仿宋"/>
          <w:spacing w:val="9"/>
          <w:sz w:val="31"/>
          <w:szCs w:val="31"/>
        </w:rPr>
        <w:t>方通过电力交易平台签约确认的零售套餐各项</w:t>
      </w:r>
      <w:r>
        <w:rPr>
          <w:rFonts w:ascii="仿宋" w:hAnsi="仿宋" w:eastAsia="仿宋" w:cs="仿宋"/>
          <w:spacing w:val="8"/>
          <w:sz w:val="31"/>
          <w:szCs w:val="31"/>
        </w:rPr>
        <w:t>参数（具体参</w:t>
      </w:r>
      <w:r>
        <w:rPr>
          <w:rFonts w:ascii="仿宋" w:hAnsi="仿宋" w:eastAsia="仿宋" w:cs="仿宋"/>
          <w:spacing w:val="4"/>
          <w:sz w:val="31"/>
          <w:szCs w:val="31"/>
        </w:rPr>
        <w:t>数见附件《安徽电力零售市场零售套餐参数汇总表（2026</w:t>
      </w:r>
      <w:r>
        <w:rPr>
          <w:rFonts w:ascii="仿宋" w:hAnsi="仿宋" w:eastAsia="仿宋" w:cs="仿宋"/>
          <w:spacing w:val="-41"/>
          <w:sz w:val="31"/>
          <w:szCs w:val="31"/>
        </w:rPr>
        <w:t xml:space="preserve"> </w:t>
      </w:r>
      <w:r>
        <w:rPr>
          <w:rFonts w:ascii="仿宋" w:hAnsi="仿宋" w:eastAsia="仿宋" w:cs="仿宋"/>
          <w:spacing w:val="4"/>
          <w:sz w:val="31"/>
          <w:szCs w:val="31"/>
        </w:rPr>
        <w:t>年</w:t>
      </w:r>
      <w:r>
        <w:rPr>
          <w:rFonts w:ascii="仿宋" w:hAnsi="仿宋" w:eastAsia="仿宋" w:cs="仿宋"/>
          <w:spacing w:val="8"/>
          <w:sz w:val="31"/>
          <w:szCs w:val="31"/>
        </w:rPr>
        <w:t>版）》）和电网企业提供的抄表电量，出具结算依据。电网</w:t>
      </w:r>
      <w:r>
        <w:rPr>
          <w:rFonts w:ascii="仿宋" w:hAnsi="仿宋" w:eastAsia="仿宋" w:cs="仿宋"/>
          <w:spacing w:val="7"/>
          <w:sz w:val="31"/>
          <w:szCs w:val="31"/>
        </w:rPr>
        <w:t>企业按照国家及安徽省有关政策规则开展电费核算和收支。</w:t>
      </w:r>
    </w:p>
    <w:p w14:paraId="350DDED9">
      <w:pPr>
        <w:spacing w:before="221" w:line="223" w:lineRule="auto"/>
        <w:ind w:left="2368"/>
        <w:outlineLvl w:val="0"/>
        <w:rPr>
          <w:rFonts w:ascii="黑体" w:hAnsi="黑体" w:eastAsia="黑体" w:cs="黑体"/>
          <w:sz w:val="35"/>
          <w:szCs w:val="35"/>
        </w:rPr>
      </w:pPr>
      <w:r>
        <w:rPr>
          <w:rFonts w:ascii="黑体" w:hAnsi="黑体" w:eastAsia="黑体" w:cs="黑体"/>
          <w:spacing w:val="6"/>
          <w:sz w:val="35"/>
          <w:szCs w:val="35"/>
        </w:rPr>
        <w:t>四、合同签订、变更与终止</w:t>
      </w:r>
    </w:p>
    <w:p w14:paraId="34B50825">
      <w:pPr>
        <w:spacing w:before="159" w:line="372" w:lineRule="auto"/>
        <w:ind w:left="35" w:right="87" w:firstLine="5"/>
        <w:jc w:val="both"/>
        <w:rPr>
          <w:rFonts w:ascii="仿宋" w:hAnsi="仿宋" w:eastAsia="仿宋" w:cs="仿宋"/>
          <w:sz w:val="31"/>
          <w:szCs w:val="31"/>
        </w:rPr>
      </w:pPr>
      <w:r>
        <w:rPr>
          <w:rFonts w:ascii="仿宋" w:hAnsi="仿宋" w:eastAsia="仿宋" w:cs="仿宋"/>
          <w:spacing w:val="5"/>
          <w:sz w:val="31"/>
          <w:szCs w:val="31"/>
        </w:rPr>
        <w:t>4.1 本合同（含附件）</w:t>
      </w:r>
      <w:r>
        <w:rPr>
          <w:rFonts w:ascii="仿宋" w:hAnsi="仿宋" w:eastAsia="仿宋" w:cs="仿宋"/>
          <w:spacing w:val="-73"/>
          <w:sz w:val="31"/>
          <w:szCs w:val="31"/>
        </w:rPr>
        <w:t xml:space="preserve"> </w:t>
      </w:r>
      <w:r>
        <w:rPr>
          <w:rFonts w:ascii="仿宋" w:hAnsi="仿宋" w:eastAsia="仿宋" w:cs="仿宋"/>
          <w:spacing w:val="5"/>
          <w:sz w:val="31"/>
          <w:szCs w:val="31"/>
        </w:rPr>
        <w:t>由甲乙双方在电力交易平台确定</w:t>
      </w:r>
      <w:r>
        <w:rPr>
          <w:rFonts w:ascii="仿宋" w:hAnsi="仿宋" w:eastAsia="仿宋" w:cs="仿宋"/>
          <w:spacing w:val="8"/>
          <w:sz w:val="31"/>
          <w:szCs w:val="31"/>
        </w:rPr>
        <w:t>有关内容，同时由双方法定代表人或授权代理人亲自签署纸</w:t>
      </w:r>
      <w:r>
        <w:rPr>
          <w:rFonts w:ascii="仿宋" w:hAnsi="仿宋" w:eastAsia="仿宋" w:cs="仿宋"/>
          <w:spacing w:val="21"/>
          <w:sz w:val="31"/>
          <w:szCs w:val="31"/>
        </w:rPr>
        <w:t>质合同并加盖公章以及骑缝章后扫描上传电力交易平台完</w:t>
      </w:r>
      <w:r>
        <w:rPr>
          <w:rFonts w:ascii="仿宋" w:hAnsi="仿宋" w:eastAsia="仿宋" w:cs="仿宋"/>
          <w:spacing w:val="8"/>
          <w:sz w:val="31"/>
          <w:szCs w:val="31"/>
        </w:rPr>
        <w:t>成确认，上传的纸质合同需与双方在电力交易平台确定内容一致。对于需要甲方再次确认的有关合同内容，由甲方法定</w:t>
      </w:r>
      <w:r>
        <w:rPr>
          <w:rFonts w:ascii="仿宋" w:hAnsi="仿宋" w:eastAsia="仿宋" w:cs="仿宋"/>
          <w:spacing w:val="21"/>
          <w:sz w:val="31"/>
          <w:szCs w:val="31"/>
        </w:rPr>
        <w:t>代表人或授权代理人亲自签署纸质确认书并加盖公章后扫</w:t>
      </w:r>
      <w:r>
        <w:rPr>
          <w:rFonts w:ascii="仿宋" w:hAnsi="仿宋" w:eastAsia="仿宋" w:cs="仿宋"/>
          <w:spacing w:val="8"/>
          <w:sz w:val="31"/>
          <w:szCs w:val="31"/>
        </w:rPr>
        <w:t>描上传电力交易平台完成确认，条件具备时可通过线上方式完成确认。由授权代理人签署的均需同步提供法人授权委托书。本合同签订生效后，具体条款内容均以电力交易平台的</w:t>
      </w:r>
      <w:r>
        <w:rPr>
          <w:rFonts w:ascii="仿宋" w:hAnsi="仿宋" w:eastAsia="仿宋" w:cs="仿宋"/>
          <w:spacing w:val="6"/>
          <w:sz w:val="31"/>
          <w:szCs w:val="31"/>
        </w:rPr>
        <w:t>线上约定信息为准。</w:t>
      </w:r>
    </w:p>
    <w:p w14:paraId="6E793A25">
      <w:pPr>
        <w:spacing w:line="335" w:lineRule="auto"/>
        <w:ind w:left="34" w:right="87" w:firstLine="630"/>
        <w:rPr>
          <w:rFonts w:ascii="仿宋" w:hAnsi="仿宋" w:eastAsia="仿宋" w:cs="仿宋"/>
          <w:sz w:val="31"/>
          <w:szCs w:val="31"/>
        </w:rPr>
      </w:pPr>
      <w:r>
        <w:rPr>
          <w:rFonts w:ascii="仿宋" w:hAnsi="仿宋" w:eastAsia="仿宋" w:cs="仿宋"/>
          <w:spacing w:val="21"/>
          <w:sz w:val="31"/>
          <w:szCs w:val="31"/>
        </w:rPr>
        <w:t>4.2 本合同中的市场术语均依照安徽省电力市</w:t>
      </w:r>
      <w:r>
        <w:rPr>
          <w:rFonts w:ascii="仿宋" w:hAnsi="仿宋" w:eastAsia="仿宋" w:cs="仿宋"/>
          <w:spacing w:val="20"/>
          <w:sz w:val="31"/>
          <w:szCs w:val="31"/>
        </w:rPr>
        <w:t>场相关</w:t>
      </w:r>
      <w:r>
        <w:rPr>
          <w:rFonts w:ascii="仿宋" w:hAnsi="仿宋" w:eastAsia="仿宋" w:cs="仿宋"/>
          <w:spacing w:val="8"/>
          <w:sz w:val="31"/>
          <w:szCs w:val="31"/>
        </w:rPr>
        <w:t>规则，其具体解释按规则执行。本合同中双方做出的市场交易约定需符合安徽省电力市场相关规则，双方对本合同内容做出违背或超出市场规则的约定均属于虚假承诺。</w:t>
      </w:r>
    </w:p>
    <w:p w14:paraId="2970562F">
      <w:pPr>
        <w:spacing w:before="245" w:line="226" w:lineRule="auto"/>
        <w:ind w:left="664"/>
        <w:rPr>
          <w:rFonts w:ascii="仿宋" w:hAnsi="仿宋" w:eastAsia="仿宋" w:cs="仿宋"/>
          <w:sz w:val="31"/>
          <w:szCs w:val="31"/>
        </w:rPr>
      </w:pPr>
      <w:r>
        <w:rPr>
          <w:rFonts w:ascii="仿宋" w:hAnsi="仿宋" w:eastAsia="仿宋" w:cs="仿宋"/>
          <w:spacing w:val="8"/>
          <w:sz w:val="31"/>
          <w:szCs w:val="31"/>
        </w:rPr>
        <w:t>4.3 双方对因签署和履行本合同而获得的对方商业秘</w:t>
      </w:r>
    </w:p>
    <w:p w14:paraId="2DD125AF">
      <w:pPr>
        <w:spacing w:before="246" w:line="342" w:lineRule="auto"/>
        <w:ind w:left="34" w:right="88" w:firstLine="17"/>
        <w:rPr>
          <w:rFonts w:ascii="仿宋" w:hAnsi="仿宋" w:eastAsia="仿宋" w:cs="仿宋"/>
          <w:sz w:val="31"/>
          <w:szCs w:val="31"/>
        </w:rPr>
      </w:pPr>
      <w:r>
        <w:rPr>
          <w:rFonts w:ascii="仿宋" w:hAnsi="仿宋" w:eastAsia="仿宋" w:cs="仿宋"/>
          <w:spacing w:val="8"/>
          <w:sz w:val="31"/>
          <w:szCs w:val="31"/>
        </w:rPr>
        <w:t>密（包括但不限于本合同履行期间一方知悉对方的任何文件</w:t>
      </w:r>
      <w:r>
        <w:rPr>
          <w:rFonts w:ascii="仿宋" w:hAnsi="仿宋" w:eastAsia="仿宋" w:cs="仿宋"/>
          <w:spacing w:val="7"/>
          <w:sz w:val="31"/>
          <w:szCs w:val="31"/>
        </w:rPr>
        <w:t>及材料</w:t>
      </w:r>
      <w:r>
        <w:rPr>
          <w:rFonts w:ascii="仿宋" w:hAnsi="仿宋" w:eastAsia="仿宋" w:cs="仿宋"/>
          <w:spacing w:val="27"/>
          <w:sz w:val="31"/>
          <w:szCs w:val="31"/>
        </w:rPr>
        <w:t>），</w:t>
      </w:r>
      <w:r>
        <w:rPr>
          <w:rFonts w:ascii="仿宋" w:hAnsi="仿宋" w:eastAsia="仿宋" w:cs="仿宋"/>
          <w:spacing w:val="7"/>
          <w:sz w:val="31"/>
          <w:szCs w:val="31"/>
        </w:rPr>
        <w:t>负有严格的保密义务，未经该资料和文件的原提</w:t>
      </w:r>
      <w:r>
        <w:rPr>
          <w:rFonts w:ascii="仿宋" w:hAnsi="仿宋" w:eastAsia="仿宋" w:cs="仿宋"/>
          <w:spacing w:val="8"/>
          <w:sz w:val="31"/>
          <w:szCs w:val="31"/>
        </w:rPr>
        <w:t>供方书面同意，不得向第三方泄露，但按照法律法规和政策规则可做出披露的情况除外。本合同中有关解除、争议解决和保密的相关条款，在本合同解除或终止后仍然有效。</w:t>
      </w:r>
    </w:p>
    <w:p w14:paraId="7CF33B00">
      <w:pPr>
        <w:spacing w:before="246" w:line="226" w:lineRule="auto"/>
        <w:ind w:left="664"/>
        <w:rPr>
          <w:rFonts w:ascii="仿宋" w:hAnsi="仿宋" w:eastAsia="仿宋" w:cs="仿宋"/>
          <w:sz w:val="31"/>
          <w:szCs w:val="31"/>
        </w:rPr>
      </w:pPr>
      <w:r>
        <w:rPr>
          <w:rFonts w:ascii="仿宋" w:hAnsi="仿宋" w:eastAsia="仿宋" w:cs="仿宋"/>
          <w:spacing w:val="8"/>
          <w:sz w:val="31"/>
          <w:szCs w:val="31"/>
        </w:rPr>
        <w:t>4.4 零售关系绑定是指双方按照电力交易平台提供的</w:t>
      </w:r>
    </w:p>
    <w:p w14:paraId="450415CF">
      <w:pPr>
        <w:spacing w:before="246" w:line="323" w:lineRule="auto"/>
        <w:ind w:left="37" w:firstLine="6"/>
        <w:rPr>
          <w:rFonts w:ascii="仿宋" w:hAnsi="仿宋" w:eastAsia="仿宋" w:cs="仿宋"/>
          <w:sz w:val="31"/>
          <w:szCs w:val="31"/>
        </w:rPr>
      </w:pPr>
      <w:r>
        <w:rPr>
          <w:rFonts w:ascii="仿宋" w:hAnsi="仿宋" w:eastAsia="仿宋" w:cs="仿宋"/>
          <w:sz w:val="31"/>
          <w:szCs w:val="31"/>
        </w:rPr>
        <w:t>合同示范文本和零售套餐、格式文本内容、交</w:t>
      </w:r>
      <w:r>
        <w:rPr>
          <w:rFonts w:ascii="仿宋" w:hAnsi="仿宋" w:eastAsia="仿宋" w:cs="仿宋"/>
          <w:spacing w:val="-1"/>
          <w:sz w:val="31"/>
          <w:szCs w:val="31"/>
        </w:rPr>
        <w:t>易开展流程等，</w:t>
      </w:r>
      <w:r>
        <w:rPr>
          <w:rFonts w:ascii="仿宋" w:hAnsi="仿宋" w:eastAsia="仿宋" w:cs="仿宋"/>
          <w:spacing w:val="8"/>
          <w:sz w:val="31"/>
          <w:szCs w:val="31"/>
        </w:rPr>
        <w:t>在规定的绑定期限内拟定套餐内容和选项参数等，据此形成</w:t>
      </w:r>
      <w:r>
        <w:rPr>
          <w:rFonts w:ascii="仿宋" w:hAnsi="仿宋" w:eastAsia="仿宋" w:cs="仿宋"/>
          <w:spacing w:val="4"/>
          <w:sz w:val="31"/>
          <w:szCs w:val="31"/>
        </w:rPr>
        <w:t>的内容集合。</w:t>
      </w:r>
    </w:p>
    <w:p w14:paraId="69FEFFE4">
      <w:pPr>
        <w:spacing w:before="243" w:line="225" w:lineRule="auto"/>
        <w:ind w:left="664"/>
        <w:rPr>
          <w:rFonts w:ascii="仿宋" w:hAnsi="仿宋" w:eastAsia="仿宋" w:cs="仿宋"/>
          <w:sz w:val="31"/>
          <w:szCs w:val="31"/>
        </w:rPr>
      </w:pPr>
      <w:r>
        <w:rPr>
          <w:rFonts w:ascii="仿宋" w:hAnsi="仿宋" w:eastAsia="仿宋" w:cs="仿宋"/>
          <w:spacing w:val="8"/>
          <w:sz w:val="31"/>
          <w:szCs w:val="31"/>
        </w:rPr>
        <w:t>4.5 双方必须在电力交易平台完成零售关系绑定和零</w:t>
      </w:r>
    </w:p>
    <w:p w14:paraId="618D6805">
      <w:pPr>
        <w:spacing w:before="160" w:line="372" w:lineRule="auto"/>
        <w:ind w:left="37" w:right="13" w:hanging="2"/>
        <w:jc w:val="both"/>
        <w:rPr>
          <w:rFonts w:ascii="仿宋" w:hAnsi="仿宋" w:eastAsia="仿宋" w:cs="仿宋"/>
          <w:sz w:val="31"/>
          <w:szCs w:val="31"/>
        </w:rPr>
      </w:pPr>
      <w:r>
        <w:rPr>
          <w:rFonts w:ascii="仿宋" w:hAnsi="仿宋" w:eastAsia="仿宋" w:cs="仿宋"/>
          <w:spacing w:val="8"/>
          <w:sz w:val="31"/>
          <w:szCs w:val="31"/>
        </w:rPr>
        <w:t>售套餐变更等，双方约定的零售套餐条款内容均以</w:t>
      </w:r>
      <w:r>
        <w:rPr>
          <w:rFonts w:ascii="仿宋" w:hAnsi="仿宋" w:eastAsia="仿宋" w:cs="仿宋"/>
          <w:spacing w:val="7"/>
          <w:sz w:val="31"/>
          <w:szCs w:val="31"/>
        </w:rPr>
        <w:t>电力交易</w:t>
      </w:r>
      <w:r>
        <w:rPr>
          <w:rFonts w:ascii="仿宋" w:hAnsi="仿宋" w:eastAsia="仿宋" w:cs="仿宋"/>
          <w:spacing w:val="8"/>
          <w:sz w:val="31"/>
          <w:szCs w:val="31"/>
        </w:rPr>
        <w:t>平台线上确定信息为准；后续双方若在电力交易平台办理零售套餐变更，则以完成变更后线上确定的内容作为本合同的</w:t>
      </w:r>
      <w:r>
        <w:rPr>
          <w:rFonts w:ascii="仿宋" w:hAnsi="仿宋" w:eastAsia="仿宋" w:cs="仿宋"/>
          <w:spacing w:val="5"/>
          <w:sz w:val="31"/>
          <w:szCs w:val="31"/>
        </w:rPr>
        <w:t>约定条款内容。</w:t>
      </w:r>
    </w:p>
    <w:p w14:paraId="66D6EEE8">
      <w:pPr>
        <w:spacing w:before="4" w:line="347" w:lineRule="auto"/>
        <w:ind w:left="37" w:right="13" w:firstLine="627"/>
        <w:rPr>
          <w:rFonts w:ascii="仿宋" w:hAnsi="仿宋" w:eastAsia="仿宋" w:cs="仿宋"/>
          <w:sz w:val="31"/>
          <w:szCs w:val="31"/>
        </w:rPr>
      </w:pPr>
      <w:r>
        <w:rPr>
          <w:rFonts w:ascii="仿宋" w:hAnsi="仿宋" w:eastAsia="仿宋" w:cs="仿宋"/>
          <w:spacing w:val="8"/>
          <w:sz w:val="31"/>
          <w:szCs w:val="31"/>
        </w:rPr>
        <w:t>4.6 在本合同期满之前，除执行有关政策规定或已达成约定外，双方不得擅自解除绑定关系或修改绑定期限；在本合同期满之后，双方自动终止零售绑定关系。每月在电力交易平台通知的零售套餐变更截止时间之前，双方可在符合政</w:t>
      </w:r>
      <w:r>
        <w:rPr>
          <w:rFonts w:ascii="仿宋" w:hAnsi="仿宋" w:eastAsia="仿宋" w:cs="仿宋"/>
          <w:spacing w:val="5"/>
          <w:sz w:val="31"/>
          <w:szCs w:val="31"/>
        </w:rPr>
        <w:t>策规则的前提下办理并完成绑定关系解除，</w:t>
      </w:r>
      <w:r>
        <w:rPr>
          <w:rFonts w:ascii="仿宋" w:hAnsi="仿宋" w:eastAsia="仿宋" w:cs="仿宋"/>
          <w:spacing w:val="-66"/>
          <w:sz w:val="31"/>
          <w:szCs w:val="31"/>
        </w:rPr>
        <w:t xml:space="preserve"> </w:t>
      </w:r>
      <w:r>
        <w:rPr>
          <w:rFonts w:ascii="仿宋" w:hAnsi="仿宋" w:eastAsia="仿宋" w:cs="仿宋"/>
          <w:spacing w:val="5"/>
          <w:sz w:val="31"/>
          <w:szCs w:val="31"/>
        </w:rPr>
        <w:t>自次月起解除零</w:t>
      </w:r>
      <w:r>
        <w:rPr>
          <w:rFonts w:ascii="仿宋" w:hAnsi="仿宋" w:eastAsia="仿宋" w:cs="仿宋"/>
          <w:spacing w:val="4"/>
          <w:sz w:val="31"/>
          <w:szCs w:val="31"/>
        </w:rPr>
        <w:t>售绑定关系。</w:t>
      </w:r>
    </w:p>
    <w:p w14:paraId="4DBBCBDE">
      <w:pPr>
        <w:spacing w:before="243" w:line="225" w:lineRule="auto"/>
        <w:ind w:left="664"/>
        <w:rPr>
          <w:rFonts w:ascii="仿宋" w:hAnsi="仿宋" w:eastAsia="仿宋" w:cs="仿宋"/>
          <w:sz w:val="31"/>
          <w:szCs w:val="31"/>
        </w:rPr>
      </w:pPr>
      <w:r>
        <w:rPr>
          <w:rFonts w:ascii="仿宋" w:hAnsi="仿宋" w:eastAsia="仿宋" w:cs="仿宋"/>
          <w:spacing w:val="8"/>
          <w:sz w:val="31"/>
          <w:szCs w:val="31"/>
        </w:rPr>
        <w:t>4.7 每月在电力交易平台通知的零售套餐变更截止时</w:t>
      </w:r>
    </w:p>
    <w:p w14:paraId="043282A9">
      <w:pPr>
        <w:spacing w:before="244" w:line="324" w:lineRule="auto"/>
        <w:ind w:left="38" w:right="16" w:firstLine="26"/>
        <w:rPr>
          <w:rFonts w:ascii="仿宋" w:hAnsi="仿宋" w:eastAsia="仿宋" w:cs="仿宋"/>
          <w:sz w:val="31"/>
          <w:szCs w:val="31"/>
        </w:rPr>
      </w:pPr>
      <w:r>
        <w:rPr>
          <w:rFonts w:ascii="仿宋" w:hAnsi="仿宋" w:eastAsia="仿宋" w:cs="仿宋"/>
          <w:spacing w:val="7"/>
          <w:sz w:val="31"/>
          <w:szCs w:val="31"/>
        </w:rPr>
        <w:t>间之前，双方可通过办理并完成合同变更。双方通过线上方</w:t>
      </w:r>
      <w:r>
        <w:rPr>
          <w:rFonts w:ascii="仿宋" w:hAnsi="仿宋" w:eastAsia="仿宋" w:cs="仿宋"/>
          <w:spacing w:val="8"/>
          <w:sz w:val="31"/>
          <w:szCs w:val="31"/>
        </w:rPr>
        <w:t>式完成提交和确认零售套餐变更内容后，必须完成认证并通过省电力交易中心审核后方可完成本次变更。</w:t>
      </w:r>
    </w:p>
    <w:p w14:paraId="6BAAB547">
      <w:pPr>
        <w:spacing w:before="238" w:line="348" w:lineRule="auto"/>
        <w:ind w:left="36" w:right="16" w:firstLine="628"/>
        <w:rPr>
          <w:rFonts w:ascii="仿宋" w:hAnsi="仿宋" w:eastAsia="仿宋" w:cs="仿宋"/>
          <w:sz w:val="31"/>
          <w:szCs w:val="31"/>
        </w:rPr>
      </w:pPr>
      <w:r>
        <w:rPr>
          <w:rFonts w:ascii="仿宋" w:hAnsi="仿宋" w:eastAsia="仿宋" w:cs="仿宋"/>
          <w:spacing w:val="8"/>
          <w:sz w:val="31"/>
          <w:szCs w:val="31"/>
        </w:rPr>
        <w:t>4.8 具有以下情形之一时，双方解除合同：①双方自主协商，达成解除合同一致意见并签订书面合同终止协议；②人民法院或仲裁机构出具的生效法律文书确认本合同无效、终止或解除的；③一方进入破产、清算或解散程序，或被强制退出电力市场，导致本合同客观上无法继续履行的；④本</w:t>
      </w:r>
      <w:r>
        <w:rPr>
          <w:rFonts w:ascii="仿宋" w:hAnsi="仿宋" w:eastAsia="仿宋" w:cs="仿宋"/>
          <w:spacing w:val="7"/>
          <w:sz w:val="31"/>
          <w:szCs w:val="31"/>
        </w:rPr>
        <w:t>合同或附件约定的解除条件成就的。</w:t>
      </w:r>
    </w:p>
    <w:p w14:paraId="2F6BEAD2">
      <w:pPr>
        <w:spacing w:before="240" w:line="300" w:lineRule="auto"/>
        <w:ind w:left="72" w:right="16" w:firstLine="591"/>
        <w:rPr>
          <w:rFonts w:ascii="仿宋" w:hAnsi="仿宋" w:eastAsia="仿宋" w:cs="仿宋"/>
          <w:sz w:val="31"/>
          <w:szCs w:val="31"/>
        </w:rPr>
      </w:pPr>
      <w:r>
        <w:rPr>
          <w:rFonts w:ascii="仿宋" w:hAnsi="仿宋" w:eastAsia="仿宋" w:cs="仿宋"/>
          <w:spacing w:val="8"/>
          <w:sz w:val="31"/>
          <w:szCs w:val="31"/>
        </w:rPr>
        <w:t>4.9 任何一方违反本合同约定条款视为违约，除按本合</w:t>
      </w:r>
      <w:r>
        <w:rPr>
          <w:rFonts w:ascii="仿宋" w:hAnsi="仿宋" w:eastAsia="仿宋" w:cs="仿宋"/>
          <w:spacing w:val="7"/>
          <w:sz w:val="31"/>
          <w:szCs w:val="31"/>
        </w:rPr>
        <w:t>同约定或依法可免除责任的情形外，合同另一方有权要求违</w:t>
      </w:r>
    </w:p>
    <w:p w14:paraId="1778D293">
      <w:pPr>
        <w:spacing w:before="163" w:line="371" w:lineRule="auto"/>
        <w:ind w:right="251"/>
        <w:rPr>
          <w:rFonts w:ascii="仿宋" w:hAnsi="仿宋" w:eastAsia="仿宋" w:cs="仿宋"/>
          <w:sz w:val="31"/>
          <w:szCs w:val="31"/>
        </w:rPr>
      </w:pPr>
      <w:r>
        <w:rPr>
          <w:rFonts w:ascii="仿宋" w:hAnsi="仿宋" w:eastAsia="仿宋" w:cs="仿宋"/>
          <w:spacing w:val="8"/>
          <w:sz w:val="31"/>
          <w:szCs w:val="31"/>
        </w:rPr>
        <w:t>约方按照《中华人民共和国民法典》的相关规定承担违约责</w:t>
      </w:r>
      <w:r>
        <w:rPr>
          <w:rFonts w:ascii="仿宋" w:hAnsi="仿宋" w:eastAsia="仿宋" w:cs="仿宋"/>
          <w:spacing w:val="7"/>
          <w:sz w:val="31"/>
          <w:szCs w:val="31"/>
        </w:rPr>
        <w:t>任并赔偿违约造成的经济损失。</w:t>
      </w:r>
    </w:p>
    <w:p w14:paraId="52C17BEA">
      <w:pPr>
        <w:spacing w:before="4" w:line="368" w:lineRule="auto"/>
        <w:ind w:left="34" w:right="251" w:firstLine="630"/>
        <w:jc w:val="both"/>
        <w:rPr>
          <w:rFonts w:ascii="仿宋" w:hAnsi="仿宋" w:eastAsia="仿宋" w:cs="仿宋"/>
          <w:sz w:val="31"/>
          <w:szCs w:val="31"/>
        </w:rPr>
      </w:pPr>
      <w:r>
        <w:rPr>
          <w:rFonts w:ascii="仿宋" w:hAnsi="仿宋" w:eastAsia="仿宋" w:cs="仿宋"/>
          <w:spacing w:val="6"/>
          <w:sz w:val="31"/>
          <w:szCs w:val="31"/>
        </w:rPr>
        <w:t>4.10</w:t>
      </w:r>
      <w:r>
        <w:rPr>
          <w:rFonts w:ascii="仿宋" w:hAnsi="仿宋" w:eastAsia="仿宋" w:cs="仿宋"/>
          <w:spacing w:val="72"/>
          <w:sz w:val="31"/>
          <w:szCs w:val="31"/>
        </w:rPr>
        <w:t xml:space="preserve"> </w:t>
      </w:r>
      <w:r>
        <w:rPr>
          <w:rFonts w:ascii="仿宋" w:hAnsi="仿宋" w:eastAsia="仿宋" w:cs="仿宋"/>
          <w:spacing w:val="6"/>
          <w:sz w:val="31"/>
          <w:szCs w:val="31"/>
        </w:rPr>
        <w:t>因签署和履行本合同所发生的与本合同有关的一</w:t>
      </w:r>
      <w:r>
        <w:rPr>
          <w:rFonts w:ascii="仿宋" w:hAnsi="仿宋" w:eastAsia="仿宋" w:cs="仿宋"/>
          <w:spacing w:val="8"/>
          <w:sz w:val="31"/>
          <w:szCs w:val="31"/>
        </w:rPr>
        <w:t>切争议，双方应协商解决，在必要时可提请省电力交易中心等进行调解。协商或调解不成的，双方自行通过仲裁机构或</w:t>
      </w:r>
      <w:r>
        <w:rPr>
          <w:rFonts w:ascii="仿宋" w:hAnsi="仿宋" w:eastAsia="仿宋" w:cs="仿宋"/>
          <w:spacing w:val="5"/>
          <w:sz w:val="31"/>
          <w:szCs w:val="31"/>
        </w:rPr>
        <w:t>司法程序解决。</w:t>
      </w:r>
    </w:p>
    <w:p w14:paraId="7ACCDEFA">
      <w:pPr>
        <w:spacing w:before="1" w:line="223" w:lineRule="auto"/>
        <w:ind w:left="3471"/>
        <w:outlineLvl w:val="0"/>
        <w:rPr>
          <w:rFonts w:ascii="黑体" w:hAnsi="黑体" w:eastAsia="黑体" w:cs="黑体"/>
          <w:sz w:val="35"/>
          <w:szCs w:val="35"/>
        </w:rPr>
      </w:pPr>
      <w:r>
        <w:rPr>
          <w:rFonts w:ascii="黑体" w:hAnsi="黑体" w:eastAsia="黑体" w:cs="黑体"/>
          <w:spacing w:val="3"/>
          <w:sz w:val="35"/>
          <w:szCs w:val="35"/>
        </w:rPr>
        <w:t>五、其他</w:t>
      </w:r>
    </w:p>
    <w:p w14:paraId="3393A1A4">
      <w:pPr>
        <w:spacing w:before="224" w:line="335" w:lineRule="auto"/>
        <w:ind w:left="32" w:right="248" w:firstLine="640"/>
        <w:rPr>
          <w:rFonts w:ascii="仿宋" w:hAnsi="仿宋" w:eastAsia="仿宋" w:cs="仿宋"/>
          <w:sz w:val="31"/>
          <w:szCs w:val="31"/>
        </w:rPr>
      </w:pPr>
      <w:r>
        <w:rPr>
          <w:rFonts w:ascii="仿宋" w:hAnsi="仿宋" w:eastAsia="仿宋" w:cs="仿宋"/>
          <w:spacing w:val="8"/>
          <w:sz w:val="31"/>
          <w:szCs w:val="31"/>
        </w:rPr>
        <w:t>5.1 本合同的订立、效力、解释、履行和争议解决</w:t>
      </w:r>
      <w:r>
        <w:rPr>
          <w:rFonts w:ascii="仿宋" w:hAnsi="仿宋" w:eastAsia="仿宋" w:cs="仿宋"/>
          <w:spacing w:val="7"/>
          <w:sz w:val="31"/>
          <w:szCs w:val="31"/>
        </w:rPr>
        <w:t>适用</w:t>
      </w:r>
      <w:r>
        <w:rPr>
          <w:rFonts w:ascii="仿宋" w:hAnsi="仿宋" w:eastAsia="仿宋" w:cs="仿宋"/>
          <w:spacing w:val="-3"/>
          <w:sz w:val="31"/>
          <w:szCs w:val="31"/>
        </w:rPr>
        <w:t>《中华人民共和国民法典》《中华人民共和民事诉</w:t>
      </w:r>
      <w:r>
        <w:rPr>
          <w:rFonts w:ascii="仿宋" w:hAnsi="仿宋" w:eastAsia="仿宋" w:cs="仿宋"/>
          <w:spacing w:val="-4"/>
          <w:sz w:val="31"/>
          <w:szCs w:val="31"/>
        </w:rPr>
        <w:t>讼法》《中</w:t>
      </w:r>
      <w:r>
        <w:rPr>
          <w:rFonts w:ascii="仿宋" w:hAnsi="仿宋" w:eastAsia="仿宋" w:cs="仿宋"/>
          <w:spacing w:val="8"/>
          <w:sz w:val="31"/>
          <w:szCs w:val="31"/>
        </w:rPr>
        <w:t>华人民共和国电力法》及其配套法律、行政法规、规章等中</w:t>
      </w:r>
      <w:r>
        <w:rPr>
          <w:rFonts w:ascii="仿宋" w:hAnsi="仿宋" w:eastAsia="仿宋" w:cs="仿宋"/>
          <w:spacing w:val="6"/>
          <w:sz w:val="31"/>
          <w:szCs w:val="31"/>
        </w:rPr>
        <w:t>华人民共和国法律。</w:t>
      </w:r>
    </w:p>
    <w:p w14:paraId="58505571">
      <w:pPr>
        <w:spacing w:before="242" w:line="225" w:lineRule="auto"/>
        <w:ind w:left="672"/>
        <w:rPr>
          <w:rFonts w:ascii="仿宋" w:hAnsi="仿宋" w:eastAsia="仿宋" w:cs="仿宋"/>
          <w:sz w:val="31"/>
          <w:szCs w:val="31"/>
        </w:rPr>
      </w:pPr>
      <w:r>
        <w:rPr>
          <w:rFonts w:ascii="仿宋" w:hAnsi="仿宋" w:eastAsia="仿宋" w:cs="仿宋"/>
          <w:spacing w:val="8"/>
          <w:sz w:val="31"/>
          <w:szCs w:val="31"/>
        </w:rPr>
        <w:t>5.2 任一方未通过书面形式声明放弃其在本合同项下</w:t>
      </w:r>
    </w:p>
    <w:p w14:paraId="4703C87F">
      <w:pPr>
        <w:spacing w:before="244" w:line="324" w:lineRule="auto"/>
        <w:ind w:left="37" w:right="251" w:firstLine="16"/>
        <w:rPr>
          <w:rFonts w:ascii="仿宋" w:hAnsi="仿宋" w:eastAsia="仿宋" w:cs="仿宋"/>
          <w:sz w:val="31"/>
          <w:szCs w:val="31"/>
        </w:rPr>
      </w:pPr>
      <w:r>
        <w:rPr>
          <w:rFonts w:ascii="仿宋" w:hAnsi="仿宋" w:eastAsia="仿宋" w:cs="仿宋"/>
          <w:spacing w:val="8"/>
          <w:sz w:val="31"/>
          <w:szCs w:val="31"/>
        </w:rPr>
        <w:t>的任何权利，均不应被视为其弃权。任一方未</w:t>
      </w:r>
      <w:r>
        <w:rPr>
          <w:rFonts w:ascii="仿宋" w:hAnsi="仿宋" w:eastAsia="仿宋" w:cs="仿宋"/>
          <w:spacing w:val="7"/>
          <w:sz w:val="31"/>
          <w:szCs w:val="31"/>
        </w:rPr>
        <w:t>行使其在本合</w:t>
      </w:r>
      <w:r>
        <w:rPr>
          <w:rFonts w:ascii="仿宋" w:hAnsi="仿宋" w:eastAsia="仿宋" w:cs="仿宋"/>
          <w:spacing w:val="8"/>
          <w:sz w:val="31"/>
          <w:szCs w:val="31"/>
        </w:rPr>
        <w:t>同项下的任何权利，均不应被视为对任何上述权利的放弃或</w:t>
      </w:r>
      <w:r>
        <w:rPr>
          <w:rFonts w:ascii="仿宋" w:hAnsi="仿宋" w:eastAsia="仿宋" w:cs="仿宋"/>
          <w:spacing w:val="7"/>
          <w:sz w:val="31"/>
          <w:szCs w:val="31"/>
        </w:rPr>
        <w:t>对今后任何上述权利的放弃。</w:t>
      </w:r>
    </w:p>
    <w:p w14:paraId="7CA6C4CF">
      <w:pPr>
        <w:spacing w:before="244" w:line="351" w:lineRule="auto"/>
        <w:ind w:left="35" w:firstLine="637"/>
        <w:rPr>
          <w:rFonts w:ascii="仿宋" w:hAnsi="仿宋" w:eastAsia="仿宋" w:cs="仿宋"/>
          <w:sz w:val="31"/>
          <w:szCs w:val="31"/>
        </w:rPr>
      </w:pPr>
      <w:r>
        <w:rPr>
          <w:rFonts w:ascii="仿宋" w:hAnsi="仿宋" w:eastAsia="仿宋" w:cs="仿宋"/>
          <w:spacing w:val="5"/>
          <w:sz w:val="31"/>
          <w:szCs w:val="31"/>
        </w:rPr>
        <w:t>5.3</w:t>
      </w:r>
      <w:r>
        <w:rPr>
          <w:rFonts w:ascii="仿宋" w:hAnsi="仿宋" w:eastAsia="仿宋" w:cs="仿宋"/>
          <w:spacing w:val="81"/>
          <w:sz w:val="31"/>
          <w:szCs w:val="31"/>
        </w:rPr>
        <w:t xml:space="preserve"> </w:t>
      </w:r>
      <w:r>
        <w:rPr>
          <w:rFonts w:ascii="仿宋" w:hAnsi="仿宋" w:eastAsia="仿宋" w:cs="仿宋"/>
          <w:spacing w:val="5"/>
          <w:sz w:val="31"/>
          <w:szCs w:val="31"/>
        </w:rPr>
        <w:t>甲乙双方任何与本合同有关的通知、文件和合规的</w:t>
      </w:r>
      <w:r>
        <w:rPr>
          <w:rFonts w:ascii="仿宋" w:hAnsi="仿宋" w:eastAsia="仿宋" w:cs="仿宋"/>
          <w:spacing w:val="8"/>
          <w:sz w:val="31"/>
          <w:szCs w:val="31"/>
        </w:rPr>
        <w:t>帐单等均须以书面方式进行。通过挂号信、快递或当面送交的，经收件方签字确认即被认为送达；若以传真方式发出并被接收，即视为送达。所有通知、文件和合规的帐单等均在送达或接收后方能生效。一切通知、帐单、资料或文件等应</w:t>
      </w:r>
      <w:r>
        <w:rPr>
          <w:rFonts w:ascii="仿宋" w:hAnsi="仿宋" w:eastAsia="仿宋" w:cs="仿宋"/>
          <w:spacing w:val="6"/>
          <w:sz w:val="31"/>
          <w:szCs w:val="31"/>
        </w:rPr>
        <w:t>发往本合同提供的地址。当该方书面通知另一方变更地址时，发往变更后的地址。</w:t>
      </w:r>
    </w:p>
    <w:p w14:paraId="58F09AF0">
      <w:pPr>
        <w:spacing w:line="351" w:lineRule="auto"/>
        <w:rPr>
          <w:rFonts w:ascii="仿宋" w:hAnsi="仿宋" w:eastAsia="仿宋" w:cs="仿宋"/>
          <w:sz w:val="31"/>
          <w:szCs w:val="31"/>
        </w:rPr>
        <w:sectPr>
          <w:footerReference r:id="rId10" w:type="default"/>
          <w:pgSz w:w="11906" w:h="16839"/>
          <w:pgMar w:top="1431" w:right="1551" w:bottom="1427" w:left="1785" w:header="0" w:footer="1150" w:gutter="0"/>
          <w:cols w:space="720" w:num="1"/>
        </w:sectPr>
      </w:pPr>
    </w:p>
    <w:p w14:paraId="158866D8">
      <w:pPr>
        <w:spacing w:before="164" w:line="335" w:lineRule="auto"/>
        <w:ind w:left="36" w:right="16" w:firstLine="636"/>
        <w:rPr>
          <w:rFonts w:ascii="仿宋" w:hAnsi="仿宋" w:eastAsia="仿宋" w:cs="仿宋"/>
          <w:sz w:val="31"/>
          <w:szCs w:val="31"/>
        </w:rPr>
      </w:pPr>
      <w:r>
        <w:rPr>
          <w:rFonts w:ascii="仿宋" w:hAnsi="仿宋" w:eastAsia="仿宋" w:cs="仿宋"/>
          <w:spacing w:val="20"/>
          <w:sz w:val="31"/>
          <w:szCs w:val="31"/>
        </w:rPr>
        <w:t>5.4 本合同中绿色电力交易是指以绿色电力和对应绿</w:t>
      </w:r>
      <w:r>
        <w:rPr>
          <w:rFonts w:ascii="仿宋" w:hAnsi="仿宋" w:eastAsia="仿宋" w:cs="仿宋"/>
          <w:spacing w:val="8"/>
          <w:sz w:val="31"/>
          <w:szCs w:val="31"/>
        </w:rPr>
        <w:t>色电力环境价值为标的物的电力交易品种，交易电力同时提</w:t>
      </w:r>
      <w:r>
        <w:rPr>
          <w:rFonts w:ascii="仿宋" w:hAnsi="仿宋" w:eastAsia="仿宋" w:cs="仿宋"/>
          <w:spacing w:val="7"/>
          <w:sz w:val="31"/>
          <w:szCs w:val="31"/>
        </w:rPr>
        <w:t>供国家核发的可再生能源绿色电力证书（简</w:t>
      </w:r>
      <w:r>
        <w:rPr>
          <w:rFonts w:ascii="仿宋" w:hAnsi="仿宋" w:eastAsia="仿宋" w:cs="仿宋"/>
          <w:spacing w:val="6"/>
          <w:sz w:val="31"/>
          <w:szCs w:val="31"/>
        </w:rPr>
        <w:t>称“绿证</w:t>
      </w:r>
      <w:r>
        <w:rPr>
          <w:rFonts w:ascii="仿宋" w:hAnsi="仿宋" w:eastAsia="仿宋" w:cs="仿宋"/>
          <w:spacing w:val="-110"/>
          <w:sz w:val="31"/>
          <w:szCs w:val="31"/>
        </w:rPr>
        <w:t xml:space="preserve"> </w:t>
      </w:r>
      <w:r>
        <w:rPr>
          <w:rFonts w:ascii="仿宋" w:hAnsi="仿宋" w:eastAsia="仿宋" w:cs="仿宋"/>
          <w:spacing w:val="6"/>
          <w:sz w:val="31"/>
          <w:szCs w:val="31"/>
        </w:rPr>
        <w:t>”）。</w:t>
      </w:r>
      <w:r>
        <w:rPr>
          <w:rFonts w:ascii="仿宋" w:hAnsi="仿宋" w:eastAsia="仿宋" w:cs="仿宋"/>
          <w:spacing w:val="8"/>
          <w:sz w:val="31"/>
          <w:szCs w:val="31"/>
        </w:rPr>
        <w:t>乙方需根据本合同约定满足甲方提出的绿色电力需求。</w:t>
      </w:r>
    </w:p>
    <w:p w14:paraId="73CE4C2C">
      <w:pPr>
        <w:spacing w:before="242" w:line="300" w:lineRule="auto"/>
        <w:ind w:left="76" w:right="13" w:firstLine="596"/>
        <w:rPr>
          <w:rFonts w:ascii="仿宋" w:hAnsi="仿宋" w:eastAsia="仿宋" w:cs="仿宋"/>
          <w:sz w:val="31"/>
          <w:szCs w:val="31"/>
        </w:rPr>
      </w:pPr>
      <w:r>
        <w:rPr>
          <w:rFonts w:ascii="仿宋" w:hAnsi="仿宋" w:eastAsia="仿宋" w:cs="仿宋"/>
          <w:spacing w:val="20"/>
          <w:sz w:val="31"/>
          <w:szCs w:val="31"/>
        </w:rPr>
        <w:t>5.5 本合同中常规电力交易是指除绿色电力交易外的</w:t>
      </w:r>
      <w:r>
        <w:rPr>
          <w:rFonts w:ascii="仿宋" w:hAnsi="仿宋" w:eastAsia="仿宋" w:cs="仿宋"/>
          <w:spacing w:val="4"/>
          <w:sz w:val="31"/>
          <w:szCs w:val="31"/>
        </w:rPr>
        <w:t>中长期、现货等电力直接交易。</w:t>
      </w:r>
    </w:p>
    <w:p w14:paraId="459F4645">
      <w:pPr>
        <w:spacing w:before="245" w:line="347" w:lineRule="auto"/>
        <w:ind w:left="36" w:right="13" w:firstLine="636"/>
        <w:rPr>
          <w:rFonts w:ascii="仿宋" w:hAnsi="仿宋" w:eastAsia="仿宋" w:cs="仿宋"/>
          <w:sz w:val="31"/>
          <w:szCs w:val="31"/>
        </w:rPr>
      </w:pPr>
      <w:r>
        <w:rPr>
          <w:rFonts w:ascii="仿宋" w:hAnsi="仿宋" w:eastAsia="仿宋" w:cs="仿宋"/>
          <w:spacing w:val="8"/>
          <w:sz w:val="31"/>
          <w:szCs w:val="31"/>
        </w:rPr>
        <w:t>5.6 如有需要，双方可就增值服务、保密、违</w:t>
      </w:r>
      <w:r>
        <w:rPr>
          <w:rFonts w:ascii="仿宋" w:hAnsi="仿宋" w:eastAsia="仿宋" w:cs="仿宋"/>
          <w:spacing w:val="7"/>
          <w:sz w:val="31"/>
          <w:szCs w:val="31"/>
        </w:rPr>
        <w:t>约赔偿等</w:t>
      </w:r>
      <w:r>
        <w:rPr>
          <w:rFonts w:ascii="仿宋" w:hAnsi="仿宋" w:eastAsia="仿宋" w:cs="仿宋"/>
          <w:spacing w:val="8"/>
          <w:sz w:val="31"/>
          <w:szCs w:val="31"/>
        </w:rPr>
        <w:t>其他事项，在国家法律法规及市场规则等允许的条件下，对合同未尽事项进行协商并签订补充协议。但补充协议不得与本合同内容（包括但不限于电价、电量、结算方式、绑定关系）相抵触，且不得以补充协议为由对抗省电力交易中心依据本合同及平台数据进行的结算、执行与管理。</w:t>
      </w:r>
    </w:p>
    <w:p w14:paraId="5F2E265F">
      <w:pPr>
        <w:spacing w:before="241" w:line="348" w:lineRule="auto"/>
        <w:ind w:left="35" w:right="16" w:firstLine="637"/>
        <w:rPr>
          <w:rFonts w:ascii="仿宋" w:hAnsi="仿宋" w:eastAsia="仿宋" w:cs="仿宋"/>
          <w:sz w:val="31"/>
          <w:szCs w:val="31"/>
        </w:rPr>
      </w:pPr>
      <w:r>
        <w:rPr>
          <w:rFonts w:ascii="仿宋" w:hAnsi="仿宋" w:eastAsia="仿宋" w:cs="仿宋"/>
          <w:spacing w:val="8"/>
          <w:sz w:val="31"/>
          <w:szCs w:val="31"/>
        </w:rPr>
        <w:t>5.7 在发生不可抗力时，若不可抗力的发生完</w:t>
      </w:r>
      <w:r>
        <w:rPr>
          <w:rFonts w:ascii="仿宋" w:hAnsi="仿宋" w:eastAsia="仿宋" w:cs="仿宋"/>
          <w:spacing w:val="7"/>
          <w:sz w:val="31"/>
          <w:szCs w:val="31"/>
        </w:rPr>
        <w:t>全或部分</w:t>
      </w:r>
      <w:r>
        <w:rPr>
          <w:rFonts w:ascii="仿宋" w:hAnsi="仿宋" w:eastAsia="仿宋" w:cs="仿宋"/>
          <w:spacing w:val="8"/>
          <w:sz w:val="31"/>
          <w:szCs w:val="31"/>
        </w:rPr>
        <w:t>地妨碍合同任一方履行本合同项下的任何义务，则该方可暂停履行其义务，但前提是：暂停履行的范围和时间不超过消除不可抗力影响的合理需要；受不可抗力影响的一方应继续履行本合同项下未受不可抗力影响的其他义务，包括所有到</w:t>
      </w:r>
      <w:r>
        <w:rPr>
          <w:rFonts w:ascii="仿宋" w:hAnsi="仿宋" w:eastAsia="仿宋" w:cs="仿宋"/>
          <w:spacing w:val="5"/>
          <w:sz w:val="31"/>
          <w:szCs w:val="31"/>
        </w:rPr>
        <w:t>期付款的义务。</w:t>
      </w:r>
    </w:p>
    <w:p w14:paraId="5AAB476E">
      <w:pPr>
        <w:spacing w:before="241" w:line="372" w:lineRule="auto"/>
        <w:ind w:left="35" w:right="13" w:firstLine="637"/>
        <w:jc w:val="both"/>
        <w:rPr>
          <w:rFonts w:ascii="仿宋" w:hAnsi="仿宋" w:eastAsia="仿宋" w:cs="仿宋"/>
          <w:spacing w:val="7"/>
          <w:sz w:val="31"/>
          <w:szCs w:val="31"/>
        </w:rPr>
      </w:pPr>
      <w:r>
        <w:rPr>
          <w:rFonts w:ascii="仿宋" w:hAnsi="仿宋" w:eastAsia="仿宋" w:cs="仿宋"/>
          <w:spacing w:val="7"/>
          <w:sz w:val="31"/>
          <w:szCs w:val="31"/>
        </w:rPr>
        <w:t>5.7.1</w:t>
      </w:r>
      <w:r>
        <w:rPr>
          <w:rFonts w:ascii="仿宋" w:hAnsi="仿宋" w:eastAsia="仿宋" w:cs="仿宋"/>
          <w:spacing w:val="-36"/>
          <w:sz w:val="31"/>
          <w:szCs w:val="31"/>
        </w:rPr>
        <w:t xml:space="preserve"> </w:t>
      </w:r>
      <w:r>
        <w:rPr>
          <w:rFonts w:ascii="仿宋" w:hAnsi="仿宋" w:eastAsia="仿宋" w:cs="仿宋"/>
          <w:spacing w:val="7"/>
          <w:sz w:val="31"/>
          <w:szCs w:val="31"/>
        </w:rPr>
        <w:t>受不可抗力影响的一方应采取合理的措施，</w:t>
      </w:r>
      <w:r>
        <w:rPr>
          <w:rFonts w:ascii="仿宋" w:hAnsi="仿宋" w:eastAsia="仿宋" w:cs="仿宋"/>
          <w:spacing w:val="-93"/>
          <w:sz w:val="31"/>
          <w:szCs w:val="31"/>
        </w:rPr>
        <w:t xml:space="preserve"> </w:t>
      </w:r>
      <w:r>
        <w:rPr>
          <w:rFonts w:ascii="仿宋" w:hAnsi="仿宋" w:eastAsia="仿宋" w:cs="仿宋"/>
          <w:spacing w:val="6"/>
          <w:sz w:val="31"/>
          <w:szCs w:val="31"/>
        </w:rPr>
        <w:t>以减</w:t>
      </w:r>
      <w:r>
        <w:rPr>
          <w:rFonts w:ascii="仿宋" w:hAnsi="仿宋" w:eastAsia="仿宋" w:cs="仿宋"/>
          <w:spacing w:val="8"/>
          <w:sz w:val="31"/>
          <w:szCs w:val="31"/>
        </w:rPr>
        <w:t>少因不可抗力给对方带来的损失。如果受不可抗力影响的一方未能尽其努力采取合理措施减少不可抗力的影响，则该方</w:t>
      </w:r>
      <w:r>
        <w:rPr>
          <w:rFonts w:ascii="仿宋" w:hAnsi="仿宋" w:eastAsia="仿宋" w:cs="仿宋"/>
          <w:spacing w:val="7"/>
          <w:sz w:val="31"/>
          <w:szCs w:val="31"/>
        </w:rPr>
        <w:t>应承担由此扩大的损失。</w:t>
      </w:r>
    </w:p>
    <w:p w14:paraId="510189FB">
      <w:pPr>
        <w:spacing w:before="241" w:line="372" w:lineRule="auto"/>
        <w:ind w:left="35" w:right="13" w:firstLine="637"/>
        <w:jc w:val="both"/>
        <w:rPr>
          <w:rFonts w:ascii="仿宋" w:hAnsi="仿宋" w:eastAsia="仿宋" w:cs="仿宋"/>
          <w:sz w:val="31"/>
          <w:szCs w:val="31"/>
        </w:rPr>
      </w:pPr>
      <w:r>
        <w:rPr>
          <w:rFonts w:ascii="仿宋" w:hAnsi="仿宋" w:eastAsia="仿宋" w:cs="仿宋"/>
          <w:spacing w:val="10"/>
          <w:sz w:val="31"/>
          <w:szCs w:val="31"/>
        </w:rPr>
        <w:t>5.7.2</w:t>
      </w:r>
      <w:r>
        <w:rPr>
          <w:rFonts w:ascii="仿宋" w:hAnsi="仿宋" w:eastAsia="仿宋" w:cs="仿宋"/>
          <w:spacing w:val="-51"/>
          <w:sz w:val="31"/>
          <w:szCs w:val="31"/>
        </w:rPr>
        <w:t xml:space="preserve"> </w:t>
      </w:r>
      <w:r>
        <w:rPr>
          <w:rFonts w:ascii="仿宋" w:hAnsi="仿宋" w:eastAsia="仿宋" w:cs="仿宋"/>
          <w:spacing w:val="10"/>
          <w:sz w:val="31"/>
          <w:szCs w:val="31"/>
        </w:rPr>
        <w:t>若合同一方因不可抗力而不能履行本合同</w:t>
      </w:r>
      <w:r>
        <w:rPr>
          <w:rFonts w:ascii="仿宋" w:hAnsi="仿宋" w:eastAsia="仿宋" w:cs="仿宋"/>
          <w:spacing w:val="9"/>
          <w:sz w:val="31"/>
          <w:szCs w:val="31"/>
        </w:rPr>
        <w:t>，则该</w:t>
      </w:r>
      <w:r>
        <w:rPr>
          <w:rFonts w:ascii="仿宋" w:hAnsi="仿宋" w:eastAsia="仿宋" w:cs="仿宋"/>
          <w:spacing w:val="8"/>
          <w:sz w:val="31"/>
          <w:szCs w:val="31"/>
        </w:rPr>
        <w:t>方应书面通知另一方。该通知书应说明不可抗力的发生日期和预计持续的时间、事件性质、对该方履行本合同的影响、</w:t>
      </w:r>
      <w:r>
        <w:rPr>
          <w:rFonts w:ascii="仿宋" w:hAnsi="仿宋" w:eastAsia="仿宋" w:cs="仿宋"/>
          <w:spacing w:val="21"/>
          <w:sz w:val="31"/>
          <w:szCs w:val="31"/>
        </w:rPr>
        <w:t>该方为减少不可抗力影响所采取的措施及由不可抗力发生</w:t>
      </w:r>
      <w:r>
        <w:rPr>
          <w:rFonts w:ascii="仿宋" w:hAnsi="仿宋" w:eastAsia="仿宋" w:cs="仿宋"/>
          <w:spacing w:val="7"/>
          <w:sz w:val="31"/>
          <w:szCs w:val="31"/>
        </w:rPr>
        <w:t>地公证机构出具的证明文件。</w:t>
      </w:r>
    </w:p>
    <w:p w14:paraId="73CB2991">
      <w:pPr>
        <w:spacing w:before="2" w:line="371" w:lineRule="auto"/>
        <w:ind w:left="35" w:right="14" w:firstLine="637"/>
        <w:jc w:val="both"/>
        <w:rPr>
          <w:rFonts w:ascii="仿宋" w:hAnsi="仿宋" w:eastAsia="仿宋" w:cs="仿宋"/>
          <w:sz w:val="31"/>
          <w:szCs w:val="31"/>
        </w:rPr>
      </w:pPr>
      <w:r>
        <w:rPr>
          <w:rFonts w:ascii="仿宋" w:hAnsi="仿宋" w:eastAsia="仿宋" w:cs="仿宋"/>
          <w:spacing w:val="8"/>
          <w:sz w:val="31"/>
          <w:szCs w:val="31"/>
        </w:rPr>
        <w:t>5.8 未尽事宜，按照国家、地方政府等出台的相关</w:t>
      </w:r>
      <w:r>
        <w:rPr>
          <w:rFonts w:ascii="仿宋" w:hAnsi="仿宋" w:eastAsia="仿宋" w:cs="仿宋"/>
          <w:spacing w:val="7"/>
          <w:sz w:val="31"/>
          <w:szCs w:val="31"/>
        </w:rPr>
        <w:t>政策</w:t>
      </w:r>
      <w:r>
        <w:rPr>
          <w:rFonts w:ascii="仿宋" w:hAnsi="仿宋" w:eastAsia="仿宋" w:cs="仿宋"/>
          <w:spacing w:val="8"/>
          <w:sz w:val="31"/>
          <w:szCs w:val="31"/>
        </w:rPr>
        <w:t>文件执行。本合同内容与国家及地方政府等有关部门出台政策文件不符的，以政策文件有关规定为准。</w:t>
      </w:r>
    </w:p>
    <w:p w14:paraId="4D4A52C4">
      <w:pPr>
        <w:spacing w:line="371" w:lineRule="auto"/>
        <w:rPr>
          <w:rFonts w:ascii="仿宋" w:hAnsi="仿宋" w:eastAsia="仿宋" w:cs="仿宋"/>
          <w:sz w:val="31"/>
          <w:szCs w:val="31"/>
        </w:rPr>
        <w:sectPr>
          <w:footerReference r:id="rId11" w:type="default"/>
          <w:pgSz w:w="11906" w:h="16839"/>
          <w:pgMar w:top="1431" w:right="1785" w:bottom="1427" w:left="1785" w:header="0" w:footer="1150" w:gutter="0"/>
          <w:cols w:space="720" w:num="1"/>
        </w:sectPr>
      </w:pPr>
    </w:p>
    <w:p w14:paraId="7BB3A8F7">
      <w:pPr>
        <w:spacing w:before="163" w:line="229" w:lineRule="auto"/>
        <w:ind w:left="683"/>
        <w:rPr>
          <w:rFonts w:ascii="仿宋" w:hAnsi="仿宋" w:eastAsia="仿宋" w:cs="仿宋"/>
          <w:sz w:val="31"/>
          <w:szCs w:val="31"/>
        </w:rPr>
      </w:pPr>
      <w:r>
        <w:rPr>
          <w:rFonts w:ascii="仿宋" w:hAnsi="仿宋" w:eastAsia="仿宋" w:cs="仿宋"/>
          <w:sz w:val="31"/>
          <w:szCs w:val="31"/>
        </w:rPr>
        <w:t>签字页</w:t>
      </w:r>
    </w:p>
    <w:p w14:paraId="5627543F">
      <w:pPr>
        <w:spacing w:line="242" w:lineRule="auto"/>
        <w:rPr>
          <w:rFonts w:ascii="Arial"/>
          <w:sz w:val="21"/>
        </w:rPr>
      </w:pPr>
    </w:p>
    <w:p w14:paraId="45D5A61D">
      <w:pPr>
        <w:spacing w:line="242" w:lineRule="auto"/>
        <w:rPr>
          <w:rFonts w:ascii="Arial"/>
          <w:sz w:val="21"/>
        </w:rPr>
      </w:pPr>
    </w:p>
    <w:p w14:paraId="1150264A">
      <w:pPr>
        <w:spacing w:line="242" w:lineRule="auto"/>
        <w:rPr>
          <w:rFonts w:ascii="Arial"/>
          <w:sz w:val="21"/>
        </w:rPr>
      </w:pPr>
    </w:p>
    <w:p w14:paraId="13A28EE7">
      <w:pPr>
        <w:spacing w:line="243" w:lineRule="auto"/>
        <w:rPr>
          <w:rFonts w:ascii="Arial"/>
          <w:sz w:val="21"/>
        </w:rPr>
      </w:pPr>
    </w:p>
    <w:p w14:paraId="7C47B552">
      <w:pPr>
        <w:spacing w:before="100" w:line="475" w:lineRule="auto"/>
        <w:ind w:left="672" w:right="799" w:firstLine="45"/>
        <w:jc w:val="both"/>
        <w:rPr>
          <w:rFonts w:ascii="仿宋" w:hAnsi="仿宋" w:eastAsia="仿宋" w:cs="仿宋"/>
          <w:sz w:val="31"/>
          <w:szCs w:val="31"/>
        </w:rPr>
      </w:pPr>
      <w:r>
        <w:rPr>
          <w:rFonts w:ascii="仿宋" w:hAnsi="仿宋" w:eastAsia="仿宋" w:cs="仿宋"/>
          <w:spacing w:val="1"/>
          <w:sz w:val="31"/>
          <w:szCs w:val="31"/>
        </w:rPr>
        <w:t>甲方</w:t>
      </w:r>
      <w:r>
        <w:rPr>
          <w:rFonts w:ascii="仿宋" w:hAnsi="仿宋" w:eastAsia="仿宋" w:cs="仿宋"/>
          <w:spacing w:val="-13"/>
          <w:sz w:val="31"/>
          <w:szCs w:val="31"/>
        </w:rPr>
        <w:t>：（</w:t>
      </w:r>
      <w:r>
        <w:rPr>
          <w:rFonts w:ascii="仿宋" w:hAnsi="仿宋" w:eastAsia="仿宋" w:cs="仿宋"/>
          <w:spacing w:val="1"/>
          <w:sz w:val="31"/>
          <w:szCs w:val="31"/>
        </w:rPr>
        <w:t>盖章）_______________</w:t>
      </w:r>
      <w:r>
        <w:rPr>
          <w:rFonts w:ascii="仿宋" w:hAnsi="仿宋" w:eastAsia="仿宋" w:cs="仿宋"/>
          <w:sz w:val="31"/>
          <w:szCs w:val="31"/>
        </w:rPr>
        <w:t>_______________</w:t>
      </w:r>
      <w:r>
        <w:rPr>
          <w:rFonts w:ascii="仿宋" w:hAnsi="仿宋" w:eastAsia="仿宋" w:cs="仿宋"/>
          <w:spacing w:val="1"/>
          <w:sz w:val="31"/>
          <w:szCs w:val="31"/>
        </w:rPr>
        <w:t>法定代表人/授权代理人：_____________________联系人：_____________手机号码：_____________</w:t>
      </w:r>
    </w:p>
    <w:p w14:paraId="5BF684D2">
      <w:pPr>
        <w:spacing w:before="8" w:line="223" w:lineRule="auto"/>
        <w:ind w:left="711"/>
        <w:rPr>
          <w:rFonts w:ascii="仿宋" w:hAnsi="仿宋" w:eastAsia="仿宋" w:cs="仿宋"/>
          <w:sz w:val="31"/>
          <w:szCs w:val="31"/>
        </w:rPr>
      </w:pPr>
      <w:r>
        <w:rPr>
          <w:rFonts w:ascii="仿宋" w:hAnsi="仿宋" w:eastAsia="仿宋" w:cs="仿宋"/>
          <w:sz w:val="31"/>
          <w:szCs w:val="31"/>
        </w:rPr>
        <w:t>电子邮箱：__________________________________</w:t>
      </w:r>
    </w:p>
    <w:p w14:paraId="7DDB1144">
      <w:pPr>
        <w:spacing w:line="322" w:lineRule="auto"/>
        <w:rPr>
          <w:rFonts w:ascii="Arial"/>
          <w:sz w:val="21"/>
        </w:rPr>
      </w:pPr>
    </w:p>
    <w:p w14:paraId="4A380113">
      <w:pPr>
        <w:spacing w:before="100" w:line="223" w:lineRule="auto"/>
        <w:ind w:left="682"/>
        <w:rPr>
          <w:rFonts w:ascii="仿宋" w:hAnsi="仿宋" w:eastAsia="仿宋" w:cs="仿宋"/>
          <w:sz w:val="31"/>
          <w:szCs w:val="31"/>
        </w:rPr>
      </w:pPr>
      <w:r>
        <w:rPr>
          <w:rFonts w:ascii="仿宋" w:hAnsi="仿宋" w:eastAsia="仿宋" w:cs="仿宋"/>
          <w:spacing w:val="1"/>
          <w:sz w:val="31"/>
          <w:szCs w:val="31"/>
        </w:rPr>
        <w:t>通信地址：_________________________</w:t>
      </w:r>
      <w:r>
        <w:rPr>
          <w:rFonts w:ascii="仿宋" w:hAnsi="仿宋" w:eastAsia="仿宋" w:cs="仿宋"/>
          <w:sz w:val="31"/>
          <w:szCs w:val="31"/>
        </w:rPr>
        <w:t>_________</w:t>
      </w:r>
    </w:p>
    <w:p w14:paraId="187C704F">
      <w:pPr>
        <w:spacing w:line="321" w:lineRule="auto"/>
        <w:rPr>
          <w:rFonts w:ascii="Arial"/>
          <w:sz w:val="21"/>
        </w:rPr>
      </w:pPr>
    </w:p>
    <w:p w14:paraId="2200D84D">
      <w:pPr>
        <w:spacing w:before="102" w:line="223" w:lineRule="auto"/>
        <w:ind w:left="683"/>
        <w:rPr>
          <w:rFonts w:ascii="仿宋" w:hAnsi="仿宋" w:eastAsia="仿宋" w:cs="仿宋"/>
          <w:sz w:val="31"/>
          <w:szCs w:val="31"/>
        </w:rPr>
      </w:pPr>
      <w:r>
        <w:rPr>
          <w:rFonts w:ascii="仿宋" w:hAnsi="仿宋" w:eastAsia="仿宋" w:cs="仿宋"/>
          <w:sz w:val="31"/>
          <w:szCs w:val="31"/>
        </w:rPr>
        <w:t>签字</w:t>
      </w:r>
      <w:r>
        <w:rPr>
          <w:rFonts w:ascii="仿宋" w:hAnsi="仿宋" w:eastAsia="仿宋" w:cs="仿宋"/>
          <w:spacing w:val="-52"/>
          <w:sz w:val="31"/>
          <w:szCs w:val="31"/>
        </w:rPr>
        <w:t xml:space="preserve"> </w:t>
      </w:r>
      <w:r>
        <w:rPr>
          <w:rFonts w:ascii="仿宋" w:hAnsi="仿宋" w:eastAsia="仿宋" w:cs="仿宋"/>
          <w:sz w:val="31"/>
          <w:szCs w:val="31"/>
        </w:rPr>
        <w:t>日期：_______年___月___</w:t>
      </w:r>
      <w:r>
        <w:rPr>
          <w:rFonts w:ascii="仿宋" w:hAnsi="仿宋" w:eastAsia="仿宋" w:cs="仿宋"/>
          <w:spacing w:val="-65"/>
          <w:sz w:val="31"/>
          <w:szCs w:val="31"/>
        </w:rPr>
        <w:t xml:space="preserve"> </w:t>
      </w:r>
      <w:r>
        <w:rPr>
          <w:rFonts w:ascii="仿宋" w:hAnsi="仿宋" w:eastAsia="仿宋" w:cs="仿宋"/>
          <w:sz w:val="31"/>
          <w:szCs w:val="31"/>
        </w:rPr>
        <w:t>日</w:t>
      </w:r>
    </w:p>
    <w:p w14:paraId="7D7979C3">
      <w:pPr>
        <w:spacing w:line="272" w:lineRule="auto"/>
        <w:rPr>
          <w:rFonts w:ascii="Arial"/>
          <w:sz w:val="21"/>
        </w:rPr>
      </w:pPr>
    </w:p>
    <w:p w14:paraId="5525E5A1">
      <w:pPr>
        <w:spacing w:line="273" w:lineRule="auto"/>
        <w:rPr>
          <w:rFonts w:ascii="Arial"/>
          <w:sz w:val="21"/>
        </w:rPr>
      </w:pPr>
    </w:p>
    <w:p w14:paraId="0AE2A89D">
      <w:pPr>
        <w:spacing w:line="273" w:lineRule="auto"/>
        <w:rPr>
          <w:rFonts w:ascii="Arial"/>
          <w:sz w:val="21"/>
        </w:rPr>
      </w:pPr>
    </w:p>
    <w:p w14:paraId="4F5A9F6E">
      <w:pPr>
        <w:spacing w:line="273" w:lineRule="auto"/>
        <w:rPr>
          <w:rFonts w:ascii="Arial"/>
          <w:sz w:val="21"/>
        </w:rPr>
      </w:pPr>
    </w:p>
    <w:p w14:paraId="620BD078">
      <w:pPr>
        <w:spacing w:line="273" w:lineRule="auto"/>
        <w:rPr>
          <w:rFonts w:ascii="Arial"/>
          <w:sz w:val="21"/>
        </w:rPr>
      </w:pPr>
    </w:p>
    <w:p w14:paraId="7081DAAC">
      <w:pPr>
        <w:spacing w:line="273" w:lineRule="auto"/>
        <w:rPr>
          <w:rFonts w:ascii="Arial"/>
          <w:sz w:val="21"/>
        </w:rPr>
      </w:pPr>
    </w:p>
    <w:p w14:paraId="163F5325">
      <w:pPr>
        <w:spacing w:line="273" w:lineRule="auto"/>
        <w:rPr>
          <w:rFonts w:ascii="Arial"/>
          <w:sz w:val="21"/>
        </w:rPr>
      </w:pPr>
    </w:p>
    <w:p w14:paraId="62A66158">
      <w:pPr>
        <w:spacing w:before="101" w:line="476" w:lineRule="auto"/>
        <w:ind w:left="672" w:right="799" w:firstLine="26"/>
        <w:jc w:val="both"/>
        <w:rPr>
          <w:rFonts w:ascii="仿宋" w:hAnsi="仿宋" w:eastAsia="仿宋" w:cs="仿宋"/>
          <w:sz w:val="31"/>
          <w:szCs w:val="31"/>
        </w:rPr>
      </w:pPr>
      <w:r>
        <w:rPr>
          <w:rFonts w:ascii="仿宋" w:hAnsi="仿宋" w:eastAsia="仿宋" w:cs="仿宋"/>
          <w:spacing w:val="1"/>
          <w:sz w:val="31"/>
          <w:szCs w:val="31"/>
        </w:rPr>
        <w:t>乙方</w:t>
      </w:r>
      <w:r>
        <w:rPr>
          <w:rFonts w:ascii="仿宋" w:hAnsi="仿宋" w:eastAsia="仿宋" w:cs="仿宋"/>
          <w:spacing w:val="-13"/>
          <w:sz w:val="31"/>
          <w:szCs w:val="31"/>
        </w:rPr>
        <w:t>：（</w:t>
      </w:r>
      <w:r>
        <w:rPr>
          <w:rFonts w:ascii="仿宋" w:hAnsi="仿宋" w:eastAsia="仿宋" w:cs="仿宋"/>
          <w:spacing w:val="1"/>
          <w:sz w:val="31"/>
          <w:szCs w:val="31"/>
        </w:rPr>
        <w:t>盖章）_____________________________法定代表人/授权代理人：_____________________联系人：_____________手机号码：_____________</w:t>
      </w:r>
    </w:p>
    <w:p w14:paraId="09EF4E52">
      <w:pPr>
        <w:spacing w:before="5" w:line="223" w:lineRule="auto"/>
        <w:ind w:left="711"/>
        <w:rPr>
          <w:rFonts w:ascii="仿宋" w:hAnsi="仿宋" w:eastAsia="仿宋" w:cs="仿宋"/>
          <w:sz w:val="31"/>
          <w:szCs w:val="31"/>
        </w:rPr>
      </w:pPr>
      <w:r>
        <w:rPr>
          <w:rFonts w:ascii="仿宋" w:hAnsi="仿宋" w:eastAsia="仿宋" w:cs="仿宋"/>
          <w:sz w:val="31"/>
          <w:szCs w:val="31"/>
        </w:rPr>
        <w:t>电子邮箱：__________________________________</w:t>
      </w:r>
    </w:p>
    <w:p w14:paraId="50C55C54">
      <w:pPr>
        <w:spacing w:line="324" w:lineRule="auto"/>
        <w:rPr>
          <w:rFonts w:ascii="Arial"/>
          <w:sz w:val="21"/>
        </w:rPr>
      </w:pPr>
    </w:p>
    <w:p w14:paraId="73077E5C">
      <w:pPr>
        <w:spacing w:before="101" w:line="223" w:lineRule="auto"/>
        <w:ind w:left="682"/>
        <w:rPr>
          <w:rFonts w:ascii="仿宋" w:hAnsi="仿宋" w:eastAsia="仿宋" w:cs="仿宋"/>
          <w:sz w:val="31"/>
          <w:szCs w:val="31"/>
        </w:rPr>
      </w:pPr>
      <w:r>
        <w:rPr>
          <w:rFonts w:ascii="仿宋" w:hAnsi="仿宋" w:eastAsia="仿宋" w:cs="仿宋"/>
          <w:spacing w:val="1"/>
          <w:sz w:val="31"/>
          <w:szCs w:val="31"/>
        </w:rPr>
        <w:t>通信地址：_________________________</w:t>
      </w:r>
      <w:r>
        <w:rPr>
          <w:rFonts w:ascii="仿宋" w:hAnsi="仿宋" w:eastAsia="仿宋" w:cs="仿宋"/>
          <w:sz w:val="31"/>
          <w:szCs w:val="31"/>
        </w:rPr>
        <w:t>_________</w:t>
      </w:r>
    </w:p>
    <w:p w14:paraId="3D33E449">
      <w:pPr>
        <w:spacing w:line="322" w:lineRule="auto"/>
        <w:rPr>
          <w:rFonts w:ascii="Arial"/>
          <w:sz w:val="21"/>
        </w:rPr>
      </w:pPr>
    </w:p>
    <w:p w14:paraId="7023C12D">
      <w:pPr>
        <w:spacing w:before="101" w:line="223" w:lineRule="auto"/>
        <w:ind w:left="683"/>
        <w:rPr>
          <w:rFonts w:ascii="仿宋" w:hAnsi="仿宋" w:eastAsia="仿宋" w:cs="仿宋"/>
          <w:sz w:val="31"/>
          <w:szCs w:val="31"/>
        </w:rPr>
      </w:pPr>
      <w:r>
        <w:rPr>
          <w:rFonts w:ascii="仿宋" w:hAnsi="仿宋" w:eastAsia="仿宋" w:cs="仿宋"/>
          <w:sz w:val="31"/>
          <w:szCs w:val="31"/>
        </w:rPr>
        <w:t>签字</w:t>
      </w:r>
      <w:r>
        <w:rPr>
          <w:rFonts w:ascii="仿宋" w:hAnsi="仿宋" w:eastAsia="仿宋" w:cs="仿宋"/>
          <w:spacing w:val="-52"/>
          <w:sz w:val="31"/>
          <w:szCs w:val="31"/>
        </w:rPr>
        <w:t xml:space="preserve"> </w:t>
      </w:r>
      <w:r>
        <w:rPr>
          <w:rFonts w:ascii="仿宋" w:hAnsi="仿宋" w:eastAsia="仿宋" w:cs="仿宋"/>
          <w:sz w:val="31"/>
          <w:szCs w:val="31"/>
        </w:rPr>
        <w:t>日期：_______年___月___</w:t>
      </w:r>
      <w:r>
        <w:rPr>
          <w:rFonts w:ascii="仿宋" w:hAnsi="仿宋" w:eastAsia="仿宋" w:cs="仿宋"/>
          <w:spacing w:val="-65"/>
          <w:sz w:val="31"/>
          <w:szCs w:val="31"/>
        </w:rPr>
        <w:t xml:space="preserve"> </w:t>
      </w:r>
      <w:r>
        <w:rPr>
          <w:rFonts w:ascii="仿宋" w:hAnsi="仿宋" w:eastAsia="仿宋" w:cs="仿宋"/>
          <w:sz w:val="31"/>
          <w:szCs w:val="31"/>
        </w:rPr>
        <w:t>日</w:t>
      </w:r>
    </w:p>
    <w:p w14:paraId="664ACA62">
      <w:pPr>
        <w:spacing w:line="223" w:lineRule="auto"/>
        <w:rPr>
          <w:rFonts w:ascii="仿宋" w:hAnsi="仿宋" w:eastAsia="仿宋" w:cs="仿宋"/>
          <w:sz w:val="31"/>
          <w:szCs w:val="31"/>
        </w:rPr>
        <w:sectPr>
          <w:footerReference r:id="rId12" w:type="default"/>
          <w:pgSz w:w="11906" w:h="16839"/>
          <w:pgMar w:top="1431" w:right="1785" w:bottom="1427" w:left="1785" w:header="0" w:footer="1151" w:gutter="0"/>
          <w:cols w:space="720" w:num="1"/>
        </w:sectPr>
      </w:pPr>
    </w:p>
    <w:p w14:paraId="50AA0F50">
      <w:pPr>
        <w:spacing w:before="43" w:line="225" w:lineRule="auto"/>
        <w:ind w:left="68"/>
        <w:rPr>
          <w:rFonts w:ascii="宋体" w:hAnsi="宋体" w:eastAsia="宋体" w:cs="宋体"/>
          <w:sz w:val="40"/>
          <w:szCs w:val="40"/>
        </w:rPr>
      </w:pPr>
      <w:r>
        <w:rPr>
          <w:rFonts w:ascii="宋体" w:hAnsi="宋体" w:eastAsia="宋体" w:cs="宋体"/>
          <w:b/>
          <w:bCs/>
          <w:spacing w:val="-6"/>
          <w:sz w:val="40"/>
          <w:szCs w:val="40"/>
        </w:rPr>
        <w:t>附件：</w:t>
      </w:r>
    </w:p>
    <w:p w14:paraId="189D2355">
      <w:pPr>
        <w:spacing w:before="122" w:line="226" w:lineRule="auto"/>
        <w:jc w:val="center"/>
        <w:outlineLvl w:val="0"/>
        <w:rPr>
          <w:rFonts w:ascii="宋体" w:hAnsi="宋体" w:eastAsia="宋体" w:cs="宋体"/>
          <w:sz w:val="40"/>
          <w:szCs w:val="40"/>
        </w:rPr>
      </w:pPr>
      <w:r>
        <w:rPr>
          <w:rFonts w:ascii="宋体" w:hAnsi="宋体" w:eastAsia="宋体" w:cs="宋体"/>
          <w:b/>
          <w:bCs/>
          <w:spacing w:val="2"/>
          <w:sz w:val="40"/>
          <w:szCs w:val="40"/>
        </w:rPr>
        <w:t>安徽电力零售市场零售套餐参数汇总表（2026年版）</w:t>
      </w:r>
    </w:p>
    <w:p w14:paraId="1E5D2C8C">
      <w:pPr>
        <w:spacing w:line="51" w:lineRule="exact"/>
        <w:rPr>
          <w:sz w:val="40"/>
          <w:szCs w:val="36"/>
        </w:rPr>
      </w:pPr>
    </w:p>
    <w:tbl>
      <w:tblPr>
        <w:tblStyle w:val="103"/>
        <w:tblW w:w="91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1321"/>
        <w:gridCol w:w="767"/>
        <w:gridCol w:w="914"/>
        <w:gridCol w:w="858"/>
        <w:gridCol w:w="952"/>
        <w:gridCol w:w="923"/>
        <w:gridCol w:w="961"/>
        <w:gridCol w:w="858"/>
        <w:gridCol w:w="967"/>
      </w:tblGrid>
      <w:tr w14:paraId="2A89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530" w:type="dxa"/>
            <w:gridSpan w:val="5"/>
            <w:vAlign w:val="top"/>
          </w:tcPr>
          <w:p w14:paraId="3C098685">
            <w:pPr>
              <w:pStyle w:val="115"/>
              <w:spacing w:before="98" w:line="231" w:lineRule="auto"/>
              <w:ind w:left="1674"/>
              <w:rPr>
                <w:sz w:val="22"/>
                <w:szCs w:val="22"/>
              </w:rPr>
            </w:pPr>
            <w:r>
              <w:rPr>
                <w:b/>
                <w:bCs/>
                <w:spacing w:val="8"/>
                <w:sz w:val="22"/>
                <w:szCs w:val="22"/>
              </w:rPr>
              <w:t>零售关系绑定期限</w:t>
            </w:r>
          </w:p>
        </w:tc>
        <w:tc>
          <w:tcPr>
            <w:tcW w:w="4661" w:type="dxa"/>
            <w:gridSpan w:val="5"/>
            <w:vAlign w:val="top"/>
          </w:tcPr>
          <w:p w14:paraId="223E16DC">
            <w:pPr>
              <w:pStyle w:val="115"/>
              <w:spacing w:before="98" w:line="231" w:lineRule="auto"/>
              <w:ind w:left="1194"/>
              <w:rPr>
                <w:sz w:val="22"/>
                <w:szCs w:val="22"/>
              </w:rPr>
            </w:pPr>
            <w:r>
              <w:rPr>
                <w:spacing w:val="2"/>
                <w:sz w:val="22"/>
                <w:szCs w:val="22"/>
              </w:rPr>
              <w:t>2026 年</w:t>
            </w:r>
            <w:r>
              <w:rPr>
                <w:spacing w:val="7"/>
                <w:sz w:val="22"/>
                <w:szCs w:val="22"/>
              </w:rPr>
              <w:t xml:space="preserve">    </w:t>
            </w:r>
            <w:r>
              <w:rPr>
                <w:spacing w:val="2"/>
                <w:sz w:val="22"/>
                <w:szCs w:val="22"/>
              </w:rPr>
              <w:t>月</w:t>
            </w:r>
            <w:r>
              <w:rPr>
                <w:spacing w:val="11"/>
                <w:sz w:val="22"/>
                <w:szCs w:val="22"/>
              </w:rPr>
              <w:t xml:space="preserve"> </w:t>
            </w:r>
            <w:r>
              <w:rPr>
                <w:spacing w:val="2"/>
                <w:sz w:val="22"/>
                <w:szCs w:val="22"/>
              </w:rPr>
              <w:t>至</w:t>
            </w:r>
            <w:r>
              <w:rPr>
                <w:spacing w:val="12"/>
                <w:sz w:val="22"/>
                <w:szCs w:val="22"/>
              </w:rPr>
              <w:t xml:space="preserve"> </w:t>
            </w:r>
            <w:r>
              <w:rPr>
                <w:spacing w:val="2"/>
                <w:sz w:val="22"/>
                <w:szCs w:val="22"/>
              </w:rPr>
              <w:t>2026 年</w:t>
            </w:r>
            <w:r>
              <w:rPr>
                <w:spacing w:val="6"/>
                <w:sz w:val="22"/>
                <w:szCs w:val="22"/>
              </w:rPr>
              <w:t xml:space="preserve">    </w:t>
            </w:r>
            <w:r>
              <w:rPr>
                <w:spacing w:val="2"/>
                <w:sz w:val="22"/>
                <w:szCs w:val="22"/>
              </w:rPr>
              <w:t>月</w:t>
            </w:r>
          </w:p>
        </w:tc>
      </w:tr>
      <w:tr w14:paraId="22390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restart"/>
            <w:tcBorders>
              <w:bottom w:val="nil"/>
            </w:tcBorders>
            <w:vAlign w:val="top"/>
          </w:tcPr>
          <w:p w14:paraId="0DFF2598">
            <w:pPr>
              <w:spacing w:line="294" w:lineRule="auto"/>
              <w:rPr>
                <w:rFonts w:ascii="Arial"/>
                <w:sz w:val="40"/>
                <w:szCs w:val="36"/>
              </w:rPr>
            </w:pPr>
          </w:p>
          <w:p w14:paraId="4DD4E7E8">
            <w:pPr>
              <w:pStyle w:val="115"/>
              <w:spacing w:before="46" w:line="232" w:lineRule="auto"/>
              <w:ind w:left="571"/>
              <w:rPr>
                <w:sz w:val="22"/>
                <w:szCs w:val="22"/>
              </w:rPr>
            </w:pPr>
            <w:r>
              <w:rPr>
                <w:b/>
                <w:bCs/>
                <w:spacing w:val="5"/>
                <w:sz w:val="22"/>
                <w:szCs w:val="22"/>
              </w:rPr>
              <w:t>甲方常规电量</w:t>
            </w:r>
          </w:p>
          <w:p w14:paraId="4F576F14">
            <w:pPr>
              <w:pStyle w:val="115"/>
              <w:spacing w:before="7" w:line="231" w:lineRule="auto"/>
              <w:ind w:left="330"/>
              <w:rPr>
                <w:sz w:val="22"/>
                <w:szCs w:val="22"/>
              </w:rPr>
            </w:pPr>
            <w:r>
              <w:rPr>
                <w:b/>
                <w:bCs/>
                <w:spacing w:val="6"/>
                <w:sz w:val="22"/>
                <w:szCs w:val="22"/>
              </w:rPr>
              <w:t>意向需求(不含绿电)</w:t>
            </w:r>
          </w:p>
        </w:tc>
        <w:tc>
          <w:tcPr>
            <w:tcW w:w="767" w:type="dxa"/>
            <w:vAlign w:val="top"/>
          </w:tcPr>
          <w:p w14:paraId="75274236">
            <w:pPr>
              <w:pStyle w:val="115"/>
              <w:spacing w:before="52" w:line="231" w:lineRule="auto"/>
              <w:ind w:left="288"/>
              <w:rPr>
                <w:sz w:val="22"/>
                <w:szCs w:val="22"/>
              </w:rPr>
            </w:pPr>
            <w:r>
              <w:rPr>
                <w:spacing w:val="-4"/>
                <w:sz w:val="22"/>
                <w:szCs w:val="22"/>
              </w:rPr>
              <w:t>1月</w:t>
            </w:r>
          </w:p>
        </w:tc>
        <w:tc>
          <w:tcPr>
            <w:tcW w:w="914" w:type="dxa"/>
            <w:vAlign w:val="top"/>
          </w:tcPr>
          <w:p w14:paraId="0BC48204">
            <w:pPr>
              <w:spacing w:line="234" w:lineRule="exact"/>
              <w:rPr>
                <w:rFonts w:ascii="Arial"/>
                <w:sz w:val="36"/>
                <w:szCs w:val="36"/>
              </w:rPr>
            </w:pPr>
          </w:p>
        </w:tc>
        <w:tc>
          <w:tcPr>
            <w:tcW w:w="858" w:type="dxa"/>
            <w:vAlign w:val="top"/>
          </w:tcPr>
          <w:p w14:paraId="1AF27A8B">
            <w:pPr>
              <w:pStyle w:val="115"/>
              <w:spacing w:before="52" w:line="231" w:lineRule="auto"/>
              <w:ind w:left="326"/>
              <w:rPr>
                <w:sz w:val="22"/>
                <w:szCs w:val="22"/>
              </w:rPr>
            </w:pPr>
            <w:r>
              <w:rPr>
                <w:spacing w:val="1"/>
                <w:sz w:val="22"/>
                <w:szCs w:val="22"/>
              </w:rPr>
              <w:t>2月</w:t>
            </w:r>
          </w:p>
        </w:tc>
        <w:tc>
          <w:tcPr>
            <w:tcW w:w="952" w:type="dxa"/>
            <w:vAlign w:val="top"/>
          </w:tcPr>
          <w:p w14:paraId="4FB050B8">
            <w:pPr>
              <w:spacing w:line="234" w:lineRule="exact"/>
              <w:rPr>
                <w:rFonts w:ascii="Arial"/>
                <w:sz w:val="36"/>
                <w:szCs w:val="36"/>
              </w:rPr>
            </w:pPr>
          </w:p>
        </w:tc>
        <w:tc>
          <w:tcPr>
            <w:tcW w:w="923" w:type="dxa"/>
            <w:vAlign w:val="top"/>
          </w:tcPr>
          <w:p w14:paraId="157E4E4F">
            <w:pPr>
              <w:pStyle w:val="115"/>
              <w:spacing w:before="52" w:line="231" w:lineRule="auto"/>
              <w:ind w:left="360"/>
              <w:rPr>
                <w:sz w:val="22"/>
                <w:szCs w:val="22"/>
              </w:rPr>
            </w:pPr>
            <w:r>
              <w:rPr>
                <w:spacing w:val="1"/>
                <w:sz w:val="22"/>
                <w:szCs w:val="22"/>
              </w:rPr>
              <w:t>3月</w:t>
            </w:r>
          </w:p>
        </w:tc>
        <w:tc>
          <w:tcPr>
            <w:tcW w:w="961" w:type="dxa"/>
            <w:vAlign w:val="top"/>
          </w:tcPr>
          <w:p w14:paraId="5140403A">
            <w:pPr>
              <w:spacing w:line="234" w:lineRule="exact"/>
              <w:rPr>
                <w:rFonts w:ascii="Arial"/>
                <w:sz w:val="36"/>
                <w:szCs w:val="36"/>
              </w:rPr>
            </w:pPr>
          </w:p>
        </w:tc>
        <w:tc>
          <w:tcPr>
            <w:tcW w:w="858" w:type="dxa"/>
            <w:vAlign w:val="top"/>
          </w:tcPr>
          <w:p w14:paraId="4923AA01">
            <w:pPr>
              <w:pStyle w:val="115"/>
              <w:spacing w:before="52" w:line="231" w:lineRule="auto"/>
              <w:ind w:left="328"/>
              <w:rPr>
                <w:sz w:val="22"/>
                <w:szCs w:val="22"/>
              </w:rPr>
            </w:pPr>
            <w:r>
              <w:rPr>
                <w:spacing w:val="2"/>
                <w:sz w:val="22"/>
                <w:szCs w:val="22"/>
              </w:rPr>
              <w:t>4月</w:t>
            </w:r>
          </w:p>
        </w:tc>
        <w:tc>
          <w:tcPr>
            <w:tcW w:w="967" w:type="dxa"/>
            <w:vAlign w:val="top"/>
          </w:tcPr>
          <w:p w14:paraId="6A694EB8">
            <w:pPr>
              <w:spacing w:line="234" w:lineRule="exact"/>
              <w:rPr>
                <w:rFonts w:ascii="Arial"/>
                <w:sz w:val="36"/>
                <w:szCs w:val="36"/>
              </w:rPr>
            </w:pPr>
          </w:p>
        </w:tc>
      </w:tr>
      <w:tr w14:paraId="338FB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03729233">
            <w:pPr>
              <w:rPr>
                <w:rFonts w:ascii="Arial"/>
                <w:sz w:val="40"/>
                <w:szCs w:val="36"/>
              </w:rPr>
            </w:pPr>
          </w:p>
        </w:tc>
        <w:tc>
          <w:tcPr>
            <w:tcW w:w="767" w:type="dxa"/>
            <w:vAlign w:val="top"/>
          </w:tcPr>
          <w:p w14:paraId="4872542F">
            <w:pPr>
              <w:pStyle w:val="115"/>
              <w:spacing w:before="52" w:line="231" w:lineRule="auto"/>
              <w:ind w:left="280"/>
              <w:rPr>
                <w:sz w:val="22"/>
                <w:szCs w:val="22"/>
              </w:rPr>
            </w:pPr>
            <w:r>
              <w:rPr>
                <w:sz w:val="22"/>
                <w:szCs w:val="22"/>
              </w:rPr>
              <w:t>5月</w:t>
            </w:r>
          </w:p>
        </w:tc>
        <w:tc>
          <w:tcPr>
            <w:tcW w:w="914" w:type="dxa"/>
            <w:vAlign w:val="top"/>
          </w:tcPr>
          <w:p w14:paraId="43745C3C">
            <w:pPr>
              <w:spacing w:line="234" w:lineRule="exact"/>
              <w:rPr>
                <w:rFonts w:ascii="Arial"/>
                <w:sz w:val="36"/>
                <w:szCs w:val="36"/>
              </w:rPr>
            </w:pPr>
          </w:p>
        </w:tc>
        <w:tc>
          <w:tcPr>
            <w:tcW w:w="858" w:type="dxa"/>
            <w:vAlign w:val="top"/>
          </w:tcPr>
          <w:p w14:paraId="29902230">
            <w:pPr>
              <w:pStyle w:val="115"/>
              <w:spacing w:before="52" w:line="231" w:lineRule="auto"/>
              <w:ind w:left="325"/>
              <w:rPr>
                <w:sz w:val="22"/>
                <w:szCs w:val="22"/>
              </w:rPr>
            </w:pPr>
            <w:r>
              <w:rPr>
                <w:spacing w:val="1"/>
                <w:sz w:val="22"/>
                <w:szCs w:val="22"/>
              </w:rPr>
              <w:t>6月</w:t>
            </w:r>
          </w:p>
        </w:tc>
        <w:tc>
          <w:tcPr>
            <w:tcW w:w="952" w:type="dxa"/>
            <w:vAlign w:val="top"/>
          </w:tcPr>
          <w:p w14:paraId="7F206CE4">
            <w:pPr>
              <w:spacing w:line="234" w:lineRule="exact"/>
              <w:rPr>
                <w:rFonts w:ascii="Arial"/>
                <w:sz w:val="36"/>
                <w:szCs w:val="36"/>
              </w:rPr>
            </w:pPr>
          </w:p>
        </w:tc>
        <w:tc>
          <w:tcPr>
            <w:tcW w:w="923" w:type="dxa"/>
            <w:vAlign w:val="top"/>
          </w:tcPr>
          <w:p w14:paraId="5A747DB0">
            <w:pPr>
              <w:pStyle w:val="115"/>
              <w:spacing w:before="52" w:line="231" w:lineRule="auto"/>
              <w:ind w:left="361"/>
              <w:rPr>
                <w:sz w:val="22"/>
                <w:szCs w:val="22"/>
              </w:rPr>
            </w:pPr>
            <w:r>
              <w:rPr>
                <w:spacing w:val="1"/>
                <w:sz w:val="22"/>
                <w:szCs w:val="22"/>
              </w:rPr>
              <w:t>7月</w:t>
            </w:r>
          </w:p>
        </w:tc>
        <w:tc>
          <w:tcPr>
            <w:tcW w:w="961" w:type="dxa"/>
            <w:vAlign w:val="top"/>
          </w:tcPr>
          <w:p w14:paraId="642F19C5">
            <w:pPr>
              <w:spacing w:line="234" w:lineRule="exact"/>
              <w:rPr>
                <w:rFonts w:ascii="Arial"/>
                <w:sz w:val="36"/>
                <w:szCs w:val="36"/>
              </w:rPr>
            </w:pPr>
          </w:p>
        </w:tc>
        <w:tc>
          <w:tcPr>
            <w:tcW w:w="858" w:type="dxa"/>
            <w:vAlign w:val="top"/>
          </w:tcPr>
          <w:p w14:paraId="595E287E">
            <w:pPr>
              <w:pStyle w:val="115"/>
              <w:spacing w:before="52" w:line="231" w:lineRule="auto"/>
              <w:ind w:left="329"/>
              <w:rPr>
                <w:sz w:val="22"/>
                <w:szCs w:val="22"/>
              </w:rPr>
            </w:pPr>
            <w:r>
              <w:rPr>
                <w:spacing w:val="2"/>
                <w:sz w:val="22"/>
                <w:szCs w:val="22"/>
              </w:rPr>
              <w:t>8月</w:t>
            </w:r>
          </w:p>
        </w:tc>
        <w:tc>
          <w:tcPr>
            <w:tcW w:w="967" w:type="dxa"/>
            <w:vAlign w:val="top"/>
          </w:tcPr>
          <w:p w14:paraId="4C2379E6">
            <w:pPr>
              <w:spacing w:line="234" w:lineRule="exact"/>
              <w:rPr>
                <w:rFonts w:ascii="Arial"/>
                <w:sz w:val="36"/>
                <w:szCs w:val="36"/>
              </w:rPr>
            </w:pPr>
          </w:p>
        </w:tc>
      </w:tr>
      <w:tr w14:paraId="7A062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0D5E0C22">
            <w:pPr>
              <w:rPr>
                <w:rFonts w:ascii="Arial"/>
                <w:sz w:val="40"/>
                <w:szCs w:val="36"/>
              </w:rPr>
            </w:pPr>
          </w:p>
        </w:tc>
        <w:tc>
          <w:tcPr>
            <w:tcW w:w="767" w:type="dxa"/>
            <w:vAlign w:val="top"/>
          </w:tcPr>
          <w:p w14:paraId="72B0AA20">
            <w:pPr>
              <w:pStyle w:val="115"/>
              <w:spacing w:before="52" w:line="231" w:lineRule="auto"/>
              <w:ind w:left="277"/>
              <w:rPr>
                <w:sz w:val="22"/>
                <w:szCs w:val="22"/>
              </w:rPr>
            </w:pPr>
            <w:r>
              <w:rPr>
                <w:spacing w:val="2"/>
                <w:sz w:val="22"/>
                <w:szCs w:val="22"/>
              </w:rPr>
              <w:t>9月</w:t>
            </w:r>
          </w:p>
        </w:tc>
        <w:tc>
          <w:tcPr>
            <w:tcW w:w="914" w:type="dxa"/>
            <w:vAlign w:val="top"/>
          </w:tcPr>
          <w:p w14:paraId="60EA054F">
            <w:pPr>
              <w:spacing w:line="234" w:lineRule="exact"/>
              <w:rPr>
                <w:rFonts w:ascii="Arial"/>
                <w:sz w:val="36"/>
                <w:szCs w:val="36"/>
              </w:rPr>
            </w:pPr>
          </w:p>
        </w:tc>
        <w:tc>
          <w:tcPr>
            <w:tcW w:w="858" w:type="dxa"/>
            <w:vAlign w:val="top"/>
          </w:tcPr>
          <w:p w14:paraId="05FA8B2B">
            <w:pPr>
              <w:pStyle w:val="115"/>
              <w:spacing w:before="52" w:line="231" w:lineRule="auto"/>
              <w:ind w:left="297"/>
              <w:rPr>
                <w:sz w:val="22"/>
                <w:szCs w:val="22"/>
              </w:rPr>
            </w:pPr>
            <w:r>
              <w:rPr>
                <w:sz w:val="22"/>
                <w:szCs w:val="22"/>
              </w:rPr>
              <w:t>10月</w:t>
            </w:r>
          </w:p>
        </w:tc>
        <w:tc>
          <w:tcPr>
            <w:tcW w:w="952" w:type="dxa"/>
            <w:vAlign w:val="top"/>
          </w:tcPr>
          <w:p w14:paraId="6F6A6843">
            <w:pPr>
              <w:spacing w:line="234" w:lineRule="exact"/>
              <w:rPr>
                <w:rFonts w:ascii="Arial"/>
                <w:sz w:val="36"/>
                <w:szCs w:val="36"/>
              </w:rPr>
            </w:pPr>
          </w:p>
        </w:tc>
        <w:tc>
          <w:tcPr>
            <w:tcW w:w="923" w:type="dxa"/>
            <w:vAlign w:val="top"/>
          </w:tcPr>
          <w:p w14:paraId="4DAF3F67">
            <w:pPr>
              <w:pStyle w:val="115"/>
              <w:spacing w:before="52" w:line="231" w:lineRule="auto"/>
              <w:ind w:left="332"/>
              <w:rPr>
                <w:sz w:val="22"/>
                <w:szCs w:val="22"/>
              </w:rPr>
            </w:pPr>
            <w:r>
              <w:rPr>
                <w:spacing w:val="-1"/>
                <w:sz w:val="22"/>
                <w:szCs w:val="22"/>
              </w:rPr>
              <w:t>11月</w:t>
            </w:r>
          </w:p>
        </w:tc>
        <w:tc>
          <w:tcPr>
            <w:tcW w:w="961" w:type="dxa"/>
            <w:vAlign w:val="top"/>
          </w:tcPr>
          <w:p w14:paraId="48CB41C4">
            <w:pPr>
              <w:spacing w:line="234" w:lineRule="exact"/>
              <w:rPr>
                <w:rFonts w:ascii="Arial"/>
                <w:sz w:val="36"/>
                <w:szCs w:val="36"/>
              </w:rPr>
            </w:pPr>
          </w:p>
        </w:tc>
        <w:tc>
          <w:tcPr>
            <w:tcW w:w="858" w:type="dxa"/>
            <w:vAlign w:val="top"/>
          </w:tcPr>
          <w:p w14:paraId="7BFFEE82">
            <w:pPr>
              <w:pStyle w:val="115"/>
              <w:spacing w:before="52" w:line="231" w:lineRule="auto"/>
              <w:ind w:left="301"/>
              <w:rPr>
                <w:sz w:val="22"/>
                <w:szCs w:val="22"/>
              </w:rPr>
            </w:pPr>
            <w:r>
              <w:rPr>
                <w:sz w:val="22"/>
                <w:szCs w:val="22"/>
              </w:rPr>
              <w:t>12月</w:t>
            </w:r>
          </w:p>
        </w:tc>
        <w:tc>
          <w:tcPr>
            <w:tcW w:w="967" w:type="dxa"/>
            <w:vAlign w:val="top"/>
          </w:tcPr>
          <w:p w14:paraId="483D3CFE">
            <w:pPr>
              <w:spacing w:line="234" w:lineRule="exact"/>
              <w:rPr>
                <w:rFonts w:ascii="Arial"/>
                <w:sz w:val="36"/>
                <w:szCs w:val="36"/>
              </w:rPr>
            </w:pPr>
          </w:p>
        </w:tc>
      </w:tr>
      <w:tr w14:paraId="69BC1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tcBorders>
            <w:vAlign w:val="top"/>
          </w:tcPr>
          <w:p w14:paraId="48125041">
            <w:pPr>
              <w:rPr>
                <w:rFonts w:ascii="Arial"/>
                <w:sz w:val="40"/>
                <w:szCs w:val="36"/>
              </w:rPr>
            </w:pPr>
          </w:p>
        </w:tc>
        <w:tc>
          <w:tcPr>
            <w:tcW w:w="767" w:type="dxa"/>
            <w:vAlign w:val="top"/>
          </w:tcPr>
          <w:p w14:paraId="4A4C5FDF">
            <w:pPr>
              <w:pStyle w:val="115"/>
              <w:spacing w:before="53" w:line="231" w:lineRule="auto"/>
              <w:ind w:left="92"/>
              <w:rPr>
                <w:sz w:val="22"/>
                <w:szCs w:val="22"/>
              </w:rPr>
            </w:pPr>
            <w:r>
              <w:rPr>
                <w:spacing w:val="8"/>
                <w:sz w:val="22"/>
                <w:szCs w:val="22"/>
              </w:rPr>
              <w:t>全年小计</w:t>
            </w:r>
          </w:p>
        </w:tc>
        <w:tc>
          <w:tcPr>
            <w:tcW w:w="6433" w:type="dxa"/>
            <w:gridSpan w:val="7"/>
            <w:vAlign w:val="top"/>
          </w:tcPr>
          <w:p w14:paraId="7F87A883">
            <w:pPr>
              <w:spacing w:line="234" w:lineRule="exact"/>
              <w:rPr>
                <w:rFonts w:ascii="Arial"/>
                <w:sz w:val="36"/>
                <w:szCs w:val="36"/>
              </w:rPr>
            </w:pPr>
          </w:p>
        </w:tc>
      </w:tr>
      <w:tr w14:paraId="223E7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9191" w:type="dxa"/>
            <w:gridSpan w:val="10"/>
            <w:vAlign w:val="top"/>
          </w:tcPr>
          <w:p w14:paraId="205FFD9E">
            <w:pPr>
              <w:spacing w:line="234" w:lineRule="exact"/>
              <w:rPr>
                <w:rFonts w:ascii="Arial"/>
                <w:sz w:val="36"/>
                <w:szCs w:val="36"/>
              </w:rPr>
            </w:pPr>
          </w:p>
        </w:tc>
      </w:tr>
      <w:tr w14:paraId="01048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restart"/>
            <w:tcBorders>
              <w:bottom w:val="nil"/>
            </w:tcBorders>
            <w:vAlign w:val="top"/>
          </w:tcPr>
          <w:p w14:paraId="6C2E52E9">
            <w:pPr>
              <w:spacing w:line="299" w:lineRule="auto"/>
              <w:rPr>
                <w:rFonts w:ascii="Arial"/>
                <w:sz w:val="40"/>
                <w:szCs w:val="36"/>
              </w:rPr>
            </w:pPr>
          </w:p>
          <w:p w14:paraId="015E9E52">
            <w:pPr>
              <w:pStyle w:val="115"/>
              <w:spacing w:before="46" w:line="239" w:lineRule="auto"/>
              <w:ind w:left="704" w:right="527" w:hanging="133"/>
              <w:rPr>
                <w:sz w:val="22"/>
                <w:szCs w:val="22"/>
              </w:rPr>
            </w:pPr>
            <w:r>
              <w:rPr>
                <w:b/>
                <w:bCs/>
                <w:spacing w:val="5"/>
                <w:sz w:val="22"/>
                <w:szCs w:val="22"/>
              </w:rPr>
              <w:t>甲方绿电电量</w:t>
            </w:r>
            <w:r>
              <w:rPr>
                <w:b/>
                <w:bCs/>
                <w:spacing w:val="6"/>
                <w:sz w:val="22"/>
                <w:szCs w:val="22"/>
              </w:rPr>
              <w:t>意向需求</w:t>
            </w:r>
          </w:p>
        </w:tc>
        <w:tc>
          <w:tcPr>
            <w:tcW w:w="767" w:type="dxa"/>
            <w:vAlign w:val="top"/>
          </w:tcPr>
          <w:p w14:paraId="3E0F7713">
            <w:pPr>
              <w:pStyle w:val="115"/>
              <w:spacing w:before="53" w:line="231" w:lineRule="auto"/>
              <w:ind w:left="288"/>
              <w:rPr>
                <w:sz w:val="22"/>
                <w:szCs w:val="22"/>
              </w:rPr>
            </w:pPr>
            <w:r>
              <w:rPr>
                <w:spacing w:val="-4"/>
                <w:sz w:val="22"/>
                <w:szCs w:val="22"/>
              </w:rPr>
              <w:t>1月</w:t>
            </w:r>
          </w:p>
        </w:tc>
        <w:tc>
          <w:tcPr>
            <w:tcW w:w="914" w:type="dxa"/>
            <w:vAlign w:val="top"/>
          </w:tcPr>
          <w:p w14:paraId="66B998AD">
            <w:pPr>
              <w:spacing w:line="234" w:lineRule="exact"/>
              <w:rPr>
                <w:rFonts w:ascii="Arial"/>
                <w:sz w:val="36"/>
                <w:szCs w:val="36"/>
              </w:rPr>
            </w:pPr>
          </w:p>
        </w:tc>
        <w:tc>
          <w:tcPr>
            <w:tcW w:w="858" w:type="dxa"/>
            <w:vAlign w:val="top"/>
          </w:tcPr>
          <w:p w14:paraId="49EEF5F1">
            <w:pPr>
              <w:pStyle w:val="115"/>
              <w:spacing w:before="53" w:line="231" w:lineRule="auto"/>
              <w:ind w:left="326"/>
              <w:rPr>
                <w:sz w:val="22"/>
                <w:szCs w:val="22"/>
              </w:rPr>
            </w:pPr>
            <w:r>
              <w:rPr>
                <w:spacing w:val="1"/>
                <w:sz w:val="22"/>
                <w:szCs w:val="22"/>
              </w:rPr>
              <w:t>2月</w:t>
            </w:r>
          </w:p>
        </w:tc>
        <w:tc>
          <w:tcPr>
            <w:tcW w:w="952" w:type="dxa"/>
            <w:vAlign w:val="top"/>
          </w:tcPr>
          <w:p w14:paraId="6D69790D">
            <w:pPr>
              <w:spacing w:line="234" w:lineRule="exact"/>
              <w:rPr>
                <w:rFonts w:ascii="Arial"/>
                <w:sz w:val="36"/>
                <w:szCs w:val="36"/>
              </w:rPr>
            </w:pPr>
          </w:p>
        </w:tc>
        <w:tc>
          <w:tcPr>
            <w:tcW w:w="923" w:type="dxa"/>
            <w:vAlign w:val="top"/>
          </w:tcPr>
          <w:p w14:paraId="49855E50">
            <w:pPr>
              <w:pStyle w:val="115"/>
              <w:spacing w:before="53" w:line="231" w:lineRule="auto"/>
              <w:ind w:left="360"/>
              <w:rPr>
                <w:sz w:val="22"/>
                <w:szCs w:val="22"/>
              </w:rPr>
            </w:pPr>
            <w:r>
              <w:rPr>
                <w:spacing w:val="1"/>
                <w:sz w:val="22"/>
                <w:szCs w:val="22"/>
              </w:rPr>
              <w:t>3月</w:t>
            </w:r>
          </w:p>
        </w:tc>
        <w:tc>
          <w:tcPr>
            <w:tcW w:w="961" w:type="dxa"/>
            <w:vAlign w:val="top"/>
          </w:tcPr>
          <w:p w14:paraId="18702388">
            <w:pPr>
              <w:spacing w:line="234" w:lineRule="exact"/>
              <w:rPr>
                <w:rFonts w:ascii="Arial"/>
                <w:sz w:val="36"/>
                <w:szCs w:val="36"/>
              </w:rPr>
            </w:pPr>
          </w:p>
        </w:tc>
        <w:tc>
          <w:tcPr>
            <w:tcW w:w="858" w:type="dxa"/>
            <w:vAlign w:val="top"/>
          </w:tcPr>
          <w:p w14:paraId="34942EDC">
            <w:pPr>
              <w:pStyle w:val="115"/>
              <w:spacing w:before="53" w:line="231" w:lineRule="auto"/>
              <w:ind w:left="328"/>
              <w:rPr>
                <w:sz w:val="22"/>
                <w:szCs w:val="22"/>
              </w:rPr>
            </w:pPr>
            <w:r>
              <w:rPr>
                <w:spacing w:val="2"/>
                <w:sz w:val="22"/>
                <w:szCs w:val="22"/>
              </w:rPr>
              <w:t>4月</w:t>
            </w:r>
          </w:p>
        </w:tc>
        <w:tc>
          <w:tcPr>
            <w:tcW w:w="967" w:type="dxa"/>
            <w:vAlign w:val="top"/>
          </w:tcPr>
          <w:p w14:paraId="191A56D6">
            <w:pPr>
              <w:spacing w:line="234" w:lineRule="exact"/>
              <w:rPr>
                <w:rFonts w:ascii="Arial"/>
                <w:sz w:val="36"/>
                <w:szCs w:val="36"/>
              </w:rPr>
            </w:pPr>
          </w:p>
        </w:tc>
      </w:tr>
      <w:tr w14:paraId="19313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096EAA04">
            <w:pPr>
              <w:rPr>
                <w:rFonts w:ascii="Arial"/>
                <w:sz w:val="40"/>
                <w:szCs w:val="36"/>
              </w:rPr>
            </w:pPr>
          </w:p>
        </w:tc>
        <w:tc>
          <w:tcPr>
            <w:tcW w:w="767" w:type="dxa"/>
            <w:vAlign w:val="top"/>
          </w:tcPr>
          <w:p w14:paraId="24B13E86">
            <w:pPr>
              <w:pStyle w:val="115"/>
              <w:spacing w:before="54" w:line="231" w:lineRule="auto"/>
              <w:ind w:left="280"/>
              <w:rPr>
                <w:sz w:val="22"/>
                <w:szCs w:val="22"/>
              </w:rPr>
            </w:pPr>
            <w:r>
              <w:rPr>
                <w:sz w:val="22"/>
                <w:szCs w:val="22"/>
              </w:rPr>
              <w:t>5月</w:t>
            </w:r>
          </w:p>
        </w:tc>
        <w:tc>
          <w:tcPr>
            <w:tcW w:w="914" w:type="dxa"/>
            <w:vAlign w:val="top"/>
          </w:tcPr>
          <w:p w14:paraId="5CCB0CC9">
            <w:pPr>
              <w:spacing w:line="234" w:lineRule="exact"/>
              <w:rPr>
                <w:rFonts w:ascii="Arial"/>
                <w:sz w:val="36"/>
                <w:szCs w:val="36"/>
              </w:rPr>
            </w:pPr>
          </w:p>
        </w:tc>
        <w:tc>
          <w:tcPr>
            <w:tcW w:w="858" w:type="dxa"/>
            <w:vAlign w:val="top"/>
          </w:tcPr>
          <w:p w14:paraId="02FCF3A0">
            <w:pPr>
              <w:pStyle w:val="115"/>
              <w:spacing w:before="54" w:line="231" w:lineRule="auto"/>
              <w:ind w:left="325"/>
              <w:rPr>
                <w:sz w:val="22"/>
                <w:szCs w:val="22"/>
              </w:rPr>
            </w:pPr>
            <w:r>
              <w:rPr>
                <w:spacing w:val="1"/>
                <w:sz w:val="22"/>
                <w:szCs w:val="22"/>
              </w:rPr>
              <w:t>6月</w:t>
            </w:r>
          </w:p>
        </w:tc>
        <w:tc>
          <w:tcPr>
            <w:tcW w:w="952" w:type="dxa"/>
            <w:vAlign w:val="top"/>
          </w:tcPr>
          <w:p w14:paraId="0CD5441F">
            <w:pPr>
              <w:spacing w:line="234" w:lineRule="exact"/>
              <w:rPr>
                <w:rFonts w:ascii="Arial"/>
                <w:sz w:val="36"/>
                <w:szCs w:val="36"/>
              </w:rPr>
            </w:pPr>
          </w:p>
        </w:tc>
        <w:tc>
          <w:tcPr>
            <w:tcW w:w="923" w:type="dxa"/>
            <w:vAlign w:val="top"/>
          </w:tcPr>
          <w:p w14:paraId="14042E34">
            <w:pPr>
              <w:pStyle w:val="115"/>
              <w:spacing w:before="54" w:line="231" w:lineRule="auto"/>
              <w:ind w:left="361"/>
              <w:rPr>
                <w:sz w:val="22"/>
                <w:szCs w:val="22"/>
              </w:rPr>
            </w:pPr>
            <w:r>
              <w:rPr>
                <w:spacing w:val="1"/>
                <w:sz w:val="22"/>
                <w:szCs w:val="22"/>
              </w:rPr>
              <w:t>7月</w:t>
            </w:r>
          </w:p>
        </w:tc>
        <w:tc>
          <w:tcPr>
            <w:tcW w:w="961" w:type="dxa"/>
            <w:vAlign w:val="top"/>
          </w:tcPr>
          <w:p w14:paraId="38097F57">
            <w:pPr>
              <w:spacing w:line="234" w:lineRule="exact"/>
              <w:rPr>
                <w:rFonts w:ascii="Arial"/>
                <w:sz w:val="36"/>
                <w:szCs w:val="36"/>
              </w:rPr>
            </w:pPr>
          </w:p>
        </w:tc>
        <w:tc>
          <w:tcPr>
            <w:tcW w:w="858" w:type="dxa"/>
            <w:vAlign w:val="top"/>
          </w:tcPr>
          <w:p w14:paraId="22C85C52">
            <w:pPr>
              <w:pStyle w:val="115"/>
              <w:spacing w:before="54" w:line="231" w:lineRule="auto"/>
              <w:ind w:left="329"/>
              <w:rPr>
                <w:sz w:val="22"/>
                <w:szCs w:val="22"/>
              </w:rPr>
            </w:pPr>
            <w:r>
              <w:rPr>
                <w:spacing w:val="2"/>
                <w:sz w:val="22"/>
                <w:szCs w:val="22"/>
              </w:rPr>
              <w:t>8月</w:t>
            </w:r>
          </w:p>
        </w:tc>
        <w:tc>
          <w:tcPr>
            <w:tcW w:w="967" w:type="dxa"/>
            <w:vAlign w:val="top"/>
          </w:tcPr>
          <w:p w14:paraId="080DC101">
            <w:pPr>
              <w:spacing w:line="234" w:lineRule="exact"/>
              <w:rPr>
                <w:rFonts w:ascii="Arial"/>
                <w:sz w:val="36"/>
                <w:szCs w:val="36"/>
              </w:rPr>
            </w:pPr>
          </w:p>
        </w:tc>
      </w:tr>
      <w:tr w14:paraId="40933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7F1D5042">
            <w:pPr>
              <w:rPr>
                <w:rFonts w:ascii="Arial"/>
                <w:sz w:val="40"/>
                <w:szCs w:val="36"/>
              </w:rPr>
            </w:pPr>
          </w:p>
        </w:tc>
        <w:tc>
          <w:tcPr>
            <w:tcW w:w="767" w:type="dxa"/>
            <w:vAlign w:val="top"/>
          </w:tcPr>
          <w:p w14:paraId="1FCCE4FD">
            <w:pPr>
              <w:pStyle w:val="115"/>
              <w:spacing w:before="55" w:line="231" w:lineRule="auto"/>
              <w:ind w:left="277"/>
              <w:rPr>
                <w:sz w:val="22"/>
                <w:szCs w:val="22"/>
              </w:rPr>
            </w:pPr>
            <w:r>
              <w:rPr>
                <w:spacing w:val="2"/>
                <w:sz w:val="22"/>
                <w:szCs w:val="22"/>
              </w:rPr>
              <w:t>9月</w:t>
            </w:r>
          </w:p>
        </w:tc>
        <w:tc>
          <w:tcPr>
            <w:tcW w:w="914" w:type="dxa"/>
            <w:vAlign w:val="top"/>
          </w:tcPr>
          <w:p w14:paraId="6DBDF0E5">
            <w:pPr>
              <w:spacing w:line="234" w:lineRule="exact"/>
              <w:rPr>
                <w:rFonts w:ascii="Arial"/>
                <w:sz w:val="36"/>
                <w:szCs w:val="36"/>
              </w:rPr>
            </w:pPr>
          </w:p>
        </w:tc>
        <w:tc>
          <w:tcPr>
            <w:tcW w:w="858" w:type="dxa"/>
            <w:vAlign w:val="top"/>
          </w:tcPr>
          <w:p w14:paraId="4CA9173B">
            <w:pPr>
              <w:pStyle w:val="115"/>
              <w:spacing w:before="55" w:line="231" w:lineRule="auto"/>
              <w:ind w:left="297"/>
              <w:rPr>
                <w:sz w:val="22"/>
                <w:szCs w:val="22"/>
              </w:rPr>
            </w:pPr>
            <w:r>
              <w:rPr>
                <w:sz w:val="22"/>
                <w:szCs w:val="22"/>
              </w:rPr>
              <w:t>10月</w:t>
            </w:r>
          </w:p>
        </w:tc>
        <w:tc>
          <w:tcPr>
            <w:tcW w:w="952" w:type="dxa"/>
            <w:vAlign w:val="top"/>
          </w:tcPr>
          <w:p w14:paraId="616BF673">
            <w:pPr>
              <w:spacing w:line="234" w:lineRule="exact"/>
              <w:rPr>
                <w:rFonts w:ascii="Arial"/>
                <w:sz w:val="36"/>
                <w:szCs w:val="36"/>
              </w:rPr>
            </w:pPr>
          </w:p>
        </w:tc>
        <w:tc>
          <w:tcPr>
            <w:tcW w:w="923" w:type="dxa"/>
            <w:vAlign w:val="top"/>
          </w:tcPr>
          <w:p w14:paraId="6832E5EF">
            <w:pPr>
              <w:pStyle w:val="115"/>
              <w:spacing w:before="55" w:line="231" w:lineRule="auto"/>
              <w:ind w:left="332"/>
              <w:rPr>
                <w:sz w:val="22"/>
                <w:szCs w:val="22"/>
              </w:rPr>
            </w:pPr>
            <w:r>
              <w:rPr>
                <w:spacing w:val="-1"/>
                <w:sz w:val="22"/>
                <w:szCs w:val="22"/>
              </w:rPr>
              <w:t>11月</w:t>
            </w:r>
          </w:p>
        </w:tc>
        <w:tc>
          <w:tcPr>
            <w:tcW w:w="961" w:type="dxa"/>
            <w:vAlign w:val="top"/>
          </w:tcPr>
          <w:p w14:paraId="324EECE0">
            <w:pPr>
              <w:spacing w:line="234" w:lineRule="exact"/>
              <w:rPr>
                <w:rFonts w:ascii="Arial"/>
                <w:sz w:val="36"/>
                <w:szCs w:val="36"/>
              </w:rPr>
            </w:pPr>
          </w:p>
        </w:tc>
        <w:tc>
          <w:tcPr>
            <w:tcW w:w="858" w:type="dxa"/>
            <w:vAlign w:val="top"/>
          </w:tcPr>
          <w:p w14:paraId="6037369C">
            <w:pPr>
              <w:pStyle w:val="115"/>
              <w:spacing w:before="55" w:line="231" w:lineRule="auto"/>
              <w:ind w:left="301"/>
              <w:rPr>
                <w:sz w:val="22"/>
                <w:szCs w:val="22"/>
              </w:rPr>
            </w:pPr>
            <w:r>
              <w:rPr>
                <w:sz w:val="22"/>
                <w:szCs w:val="22"/>
              </w:rPr>
              <w:t>12月</w:t>
            </w:r>
          </w:p>
        </w:tc>
        <w:tc>
          <w:tcPr>
            <w:tcW w:w="967" w:type="dxa"/>
            <w:vAlign w:val="top"/>
          </w:tcPr>
          <w:p w14:paraId="3D9C78C6">
            <w:pPr>
              <w:spacing w:line="234" w:lineRule="exact"/>
              <w:rPr>
                <w:rFonts w:ascii="Arial"/>
                <w:sz w:val="36"/>
                <w:szCs w:val="36"/>
              </w:rPr>
            </w:pPr>
          </w:p>
        </w:tc>
      </w:tr>
      <w:tr w14:paraId="0E13A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tcBorders>
            <w:vAlign w:val="top"/>
          </w:tcPr>
          <w:p w14:paraId="45715640">
            <w:pPr>
              <w:rPr>
                <w:rFonts w:ascii="Arial"/>
                <w:sz w:val="40"/>
                <w:szCs w:val="36"/>
              </w:rPr>
            </w:pPr>
          </w:p>
        </w:tc>
        <w:tc>
          <w:tcPr>
            <w:tcW w:w="767" w:type="dxa"/>
            <w:vAlign w:val="top"/>
          </w:tcPr>
          <w:p w14:paraId="4A6D03DE">
            <w:pPr>
              <w:pStyle w:val="115"/>
              <w:spacing w:before="55" w:line="231" w:lineRule="auto"/>
              <w:ind w:left="92"/>
              <w:rPr>
                <w:sz w:val="22"/>
                <w:szCs w:val="22"/>
              </w:rPr>
            </w:pPr>
            <w:r>
              <w:rPr>
                <w:spacing w:val="8"/>
                <w:sz w:val="22"/>
                <w:szCs w:val="22"/>
              </w:rPr>
              <w:t>全年小计</w:t>
            </w:r>
          </w:p>
        </w:tc>
        <w:tc>
          <w:tcPr>
            <w:tcW w:w="6433" w:type="dxa"/>
            <w:gridSpan w:val="7"/>
            <w:vAlign w:val="top"/>
          </w:tcPr>
          <w:p w14:paraId="0A544E78">
            <w:pPr>
              <w:spacing w:line="234" w:lineRule="exact"/>
              <w:rPr>
                <w:rFonts w:ascii="Arial"/>
                <w:sz w:val="36"/>
                <w:szCs w:val="36"/>
              </w:rPr>
            </w:pPr>
          </w:p>
        </w:tc>
      </w:tr>
      <w:tr w14:paraId="25D33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9191" w:type="dxa"/>
            <w:gridSpan w:val="10"/>
            <w:vAlign w:val="top"/>
          </w:tcPr>
          <w:p w14:paraId="4BD9817E">
            <w:pPr>
              <w:spacing w:line="171" w:lineRule="exact"/>
              <w:rPr>
                <w:rFonts w:ascii="Arial"/>
                <w:sz w:val="22"/>
                <w:szCs w:val="36"/>
              </w:rPr>
            </w:pPr>
          </w:p>
        </w:tc>
      </w:tr>
      <w:tr w14:paraId="63A8B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trPr>
        <w:tc>
          <w:tcPr>
            <w:tcW w:w="2758" w:type="dxa"/>
            <w:gridSpan w:val="3"/>
            <w:vAlign w:val="top"/>
          </w:tcPr>
          <w:p w14:paraId="60ED06DF">
            <w:pPr>
              <w:pStyle w:val="115"/>
              <w:spacing w:before="44" w:line="216" w:lineRule="auto"/>
              <w:ind w:left="27"/>
              <w:rPr>
                <w:sz w:val="22"/>
                <w:szCs w:val="22"/>
              </w:rPr>
            </w:pPr>
            <w:r>
              <w:rPr>
                <w:b/>
                <w:bCs/>
                <w:spacing w:val="8"/>
                <w:sz w:val="22"/>
                <w:szCs w:val="22"/>
              </w:rPr>
              <w:t>套餐一：固定价格套餐</w:t>
            </w:r>
          </w:p>
        </w:tc>
        <w:tc>
          <w:tcPr>
            <w:tcW w:w="6433" w:type="dxa"/>
            <w:gridSpan w:val="7"/>
            <w:vAlign w:val="top"/>
          </w:tcPr>
          <w:p w14:paraId="19C7F14B">
            <w:pPr>
              <w:pStyle w:val="115"/>
              <w:spacing w:before="44" w:line="216" w:lineRule="auto"/>
              <w:ind w:left="41"/>
              <w:rPr>
                <w:sz w:val="22"/>
                <w:szCs w:val="22"/>
              </w:rPr>
            </w:pPr>
            <w:r>
              <w:rPr>
                <w:b/>
                <w:bCs/>
                <w:spacing w:val="4"/>
                <w:sz w:val="22"/>
                <w:szCs w:val="22"/>
              </w:rPr>
              <w:t>电能量比例系数为K</w:t>
            </w:r>
            <w:r>
              <w:rPr>
                <w:b/>
                <w:bCs/>
                <w:spacing w:val="4"/>
                <w:sz w:val="20"/>
                <w:szCs w:val="20"/>
              </w:rPr>
              <w:t>1</w:t>
            </w:r>
            <w:r>
              <w:rPr>
                <w:b/>
                <w:bCs/>
                <w:spacing w:val="4"/>
                <w:sz w:val="22"/>
                <w:szCs w:val="22"/>
              </w:rPr>
              <w:t>%</w:t>
            </w:r>
          </w:p>
        </w:tc>
      </w:tr>
      <w:tr w14:paraId="59742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restart"/>
            <w:tcBorders>
              <w:bottom w:val="nil"/>
            </w:tcBorders>
            <w:vAlign w:val="top"/>
          </w:tcPr>
          <w:p w14:paraId="5D5277AA">
            <w:pPr>
              <w:spacing w:line="275" w:lineRule="auto"/>
              <w:rPr>
                <w:rFonts w:ascii="Arial"/>
                <w:sz w:val="40"/>
                <w:szCs w:val="36"/>
              </w:rPr>
            </w:pPr>
          </w:p>
          <w:p w14:paraId="29F96B8B">
            <w:pPr>
              <w:spacing w:line="276" w:lineRule="auto"/>
              <w:rPr>
                <w:rFonts w:ascii="Arial"/>
                <w:sz w:val="40"/>
                <w:szCs w:val="36"/>
              </w:rPr>
            </w:pPr>
          </w:p>
          <w:p w14:paraId="2AB0CADA">
            <w:pPr>
              <w:pStyle w:val="115"/>
              <w:spacing w:before="45" w:line="241" w:lineRule="auto"/>
              <w:ind w:left="627" w:right="375" w:hanging="207"/>
              <w:rPr>
                <w:sz w:val="18"/>
                <w:szCs w:val="18"/>
              </w:rPr>
            </w:pPr>
            <w:r>
              <w:rPr>
                <w:b/>
                <w:bCs/>
                <w:spacing w:val="6"/>
                <w:sz w:val="22"/>
                <w:szCs w:val="22"/>
              </w:rPr>
              <w:t>甲方各时段电能量</w:t>
            </w:r>
            <w:r>
              <w:rPr>
                <w:b/>
                <w:bCs/>
                <w:spacing w:val="3"/>
                <w:sz w:val="22"/>
                <w:szCs w:val="22"/>
              </w:rPr>
              <w:t>固定价格P</w:t>
            </w:r>
            <w:r>
              <w:rPr>
                <w:b/>
                <w:bCs/>
                <w:spacing w:val="3"/>
                <w:sz w:val="18"/>
                <w:szCs w:val="18"/>
              </w:rPr>
              <w:t>1T</w:t>
            </w:r>
          </w:p>
        </w:tc>
        <w:tc>
          <w:tcPr>
            <w:tcW w:w="767" w:type="dxa"/>
            <w:vAlign w:val="top"/>
          </w:tcPr>
          <w:p w14:paraId="7080D521">
            <w:pPr>
              <w:pStyle w:val="115"/>
              <w:spacing w:before="55" w:line="233" w:lineRule="auto"/>
              <w:ind w:left="288"/>
              <w:rPr>
                <w:sz w:val="22"/>
                <w:szCs w:val="22"/>
              </w:rPr>
            </w:pPr>
            <w:r>
              <w:rPr>
                <w:spacing w:val="-4"/>
                <w:sz w:val="22"/>
                <w:szCs w:val="22"/>
              </w:rPr>
              <w:t>1时</w:t>
            </w:r>
          </w:p>
        </w:tc>
        <w:tc>
          <w:tcPr>
            <w:tcW w:w="914" w:type="dxa"/>
            <w:vAlign w:val="top"/>
          </w:tcPr>
          <w:p w14:paraId="68388DB1">
            <w:pPr>
              <w:spacing w:line="234" w:lineRule="exact"/>
              <w:rPr>
                <w:rFonts w:ascii="Arial"/>
                <w:sz w:val="36"/>
                <w:szCs w:val="36"/>
              </w:rPr>
            </w:pPr>
          </w:p>
        </w:tc>
        <w:tc>
          <w:tcPr>
            <w:tcW w:w="858" w:type="dxa"/>
            <w:vAlign w:val="top"/>
          </w:tcPr>
          <w:p w14:paraId="4E45F6D4">
            <w:pPr>
              <w:pStyle w:val="115"/>
              <w:spacing w:before="55" w:line="233" w:lineRule="auto"/>
              <w:ind w:left="326"/>
              <w:rPr>
                <w:sz w:val="22"/>
                <w:szCs w:val="22"/>
              </w:rPr>
            </w:pPr>
            <w:r>
              <w:rPr>
                <w:spacing w:val="1"/>
                <w:sz w:val="22"/>
                <w:szCs w:val="22"/>
              </w:rPr>
              <w:t>2时</w:t>
            </w:r>
          </w:p>
        </w:tc>
        <w:tc>
          <w:tcPr>
            <w:tcW w:w="952" w:type="dxa"/>
            <w:vAlign w:val="top"/>
          </w:tcPr>
          <w:p w14:paraId="6609EE4E">
            <w:pPr>
              <w:spacing w:line="234" w:lineRule="exact"/>
              <w:rPr>
                <w:rFonts w:ascii="Arial"/>
                <w:sz w:val="36"/>
                <w:szCs w:val="36"/>
              </w:rPr>
            </w:pPr>
          </w:p>
        </w:tc>
        <w:tc>
          <w:tcPr>
            <w:tcW w:w="923" w:type="dxa"/>
            <w:vAlign w:val="top"/>
          </w:tcPr>
          <w:p w14:paraId="334124E6">
            <w:pPr>
              <w:pStyle w:val="115"/>
              <w:spacing w:before="55" w:line="233" w:lineRule="auto"/>
              <w:ind w:left="360"/>
              <w:rPr>
                <w:sz w:val="22"/>
                <w:szCs w:val="22"/>
              </w:rPr>
            </w:pPr>
            <w:r>
              <w:rPr>
                <w:spacing w:val="1"/>
                <w:sz w:val="22"/>
                <w:szCs w:val="22"/>
              </w:rPr>
              <w:t>3时</w:t>
            </w:r>
          </w:p>
        </w:tc>
        <w:tc>
          <w:tcPr>
            <w:tcW w:w="961" w:type="dxa"/>
            <w:vAlign w:val="top"/>
          </w:tcPr>
          <w:p w14:paraId="34AD2C65">
            <w:pPr>
              <w:spacing w:line="234" w:lineRule="exact"/>
              <w:rPr>
                <w:rFonts w:ascii="Arial"/>
                <w:sz w:val="36"/>
                <w:szCs w:val="36"/>
              </w:rPr>
            </w:pPr>
          </w:p>
        </w:tc>
        <w:tc>
          <w:tcPr>
            <w:tcW w:w="858" w:type="dxa"/>
            <w:vAlign w:val="top"/>
          </w:tcPr>
          <w:p w14:paraId="39322AAF">
            <w:pPr>
              <w:pStyle w:val="115"/>
              <w:spacing w:before="55" w:line="233" w:lineRule="auto"/>
              <w:ind w:left="328"/>
              <w:rPr>
                <w:sz w:val="22"/>
                <w:szCs w:val="22"/>
              </w:rPr>
            </w:pPr>
            <w:r>
              <w:rPr>
                <w:spacing w:val="2"/>
                <w:sz w:val="22"/>
                <w:szCs w:val="22"/>
              </w:rPr>
              <w:t>4时</w:t>
            </w:r>
          </w:p>
        </w:tc>
        <w:tc>
          <w:tcPr>
            <w:tcW w:w="967" w:type="dxa"/>
            <w:vAlign w:val="top"/>
          </w:tcPr>
          <w:p w14:paraId="05A739D0">
            <w:pPr>
              <w:spacing w:line="234" w:lineRule="exact"/>
              <w:rPr>
                <w:rFonts w:ascii="Arial"/>
                <w:sz w:val="36"/>
                <w:szCs w:val="36"/>
              </w:rPr>
            </w:pPr>
          </w:p>
        </w:tc>
      </w:tr>
      <w:tr w14:paraId="177DF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529C31B6">
            <w:pPr>
              <w:rPr>
                <w:rFonts w:ascii="Arial"/>
                <w:sz w:val="40"/>
                <w:szCs w:val="36"/>
              </w:rPr>
            </w:pPr>
          </w:p>
        </w:tc>
        <w:tc>
          <w:tcPr>
            <w:tcW w:w="767" w:type="dxa"/>
            <w:vAlign w:val="top"/>
          </w:tcPr>
          <w:p w14:paraId="4F7B6877">
            <w:pPr>
              <w:pStyle w:val="115"/>
              <w:spacing w:before="56" w:line="233" w:lineRule="auto"/>
              <w:ind w:left="280"/>
              <w:rPr>
                <w:sz w:val="22"/>
                <w:szCs w:val="22"/>
              </w:rPr>
            </w:pPr>
            <w:r>
              <w:rPr>
                <w:sz w:val="22"/>
                <w:szCs w:val="22"/>
              </w:rPr>
              <w:t>5时</w:t>
            </w:r>
          </w:p>
        </w:tc>
        <w:tc>
          <w:tcPr>
            <w:tcW w:w="914" w:type="dxa"/>
            <w:vAlign w:val="top"/>
          </w:tcPr>
          <w:p w14:paraId="28CE8669">
            <w:pPr>
              <w:spacing w:line="234" w:lineRule="exact"/>
              <w:rPr>
                <w:rFonts w:ascii="Arial"/>
                <w:sz w:val="36"/>
                <w:szCs w:val="36"/>
              </w:rPr>
            </w:pPr>
          </w:p>
        </w:tc>
        <w:tc>
          <w:tcPr>
            <w:tcW w:w="858" w:type="dxa"/>
            <w:vAlign w:val="top"/>
          </w:tcPr>
          <w:p w14:paraId="62411EC0">
            <w:pPr>
              <w:pStyle w:val="115"/>
              <w:spacing w:before="56" w:line="233" w:lineRule="auto"/>
              <w:ind w:left="325"/>
              <w:rPr>
                <w:sz w:val="22"/>
                <w:szCs w:val="22"/>
              </w:rPr>
            </w:pPr>
            <w:r>
              <w:rPr>
                <w:spacing w:val="1"/>
                <w:sz w:val="22"/>
                <w:szCs w:val="22"/>
              </w:rPr>
              <w:t>6时</w:t>
            </w:r>
          </w:p>
        </w:tc>
        <w:tc>
          <w:tcPr>
            <w:tcW w:w="952" w:type="dxa"/>
            <w:vAlign w:val="top"/>
          </w:tcPr>
          <w:p w14:paraId="54161D47">
            <w:pPr>
              <w:spacing w:line="234" w:lineRule="exact"/>
              <w:rPr>
                <w:rFonts w:ascii="Arial"/>
                <w:sz w:val="36"/>
                <w:szCs w:val="36"/>
              </w:rPr>
            </w:pPr>
          </w:p>
        </w:tc>
        <w:tc>
          <w:tcPr>
            <w:tcW w:w="923" w:type="dxa"/>
            <w:vAlign w:val="top"/>
          </w:tcPr>
          <w:p w14:paraId="52C8BB98">
            <w:pPr>
              <w:pStyle w:val="115"/>
              <w:spacing w:before="56" w:line="233" w:lineRule="auto"/>
              <w:ind w:left="361"/>
              <w:rPr>
                <w:sz w:val="22"/>
                <w:szCs w:val="22"/>
              </w:rPr>
            </w:pPr>
            <w:r>
              <w:rPr>
                <w:spacing w:val="1"/>
                <w:sz w:val="22"/>
                <w:szCs w:val="22"/>
              </w:rPr>
              <w:t>7时</w:t>
            </w:r>
          </w:p>
        </w:tc>
        <w:tc>
          <w:tcPr>
            <w:tcW w:w="961" w:type="dxa"/>
            <w:vAlign w:val="top"/>
          </w:tcPr>
          <w:p w14:paraId="4939A257">
            <w:pPr>
              <w:spacing w:line="234" w:lineRule="exact"/>
              <w:rPr>
                <w:rFonts w:ascii="Arial"/>
                <w:sz w:val="36"/>
                <w:szCs w:val="36"/>
              </w:rPr>
            </w:pPr>
          </w:p>
        </w:tc>
        <w:tc>
          <w:tcPr>
            <w:tcW w:w="858" w:type="dxa"/>
            <w:vAlign w:val="top"/>
          </w:tcPr>
          <w:p w14:paraId="261D0C2F">
            <w:pPr>
              <w:pStyle w:val="115"/>
              <w:spacing w:before="56" w:line="233" w:lineRule="auto"/>
              <w:ind w:left="329"/>
              <w:rPr>
                <w:sz w:val="22"/>
                <w:szCs w:val="22"/>
              </w:rPr>
            </w:pPr>
            <w:r>
              <w:rPr>
                <w:spacing w:val="2"/>
                <w:sz w:val="22"/>
                <w:szCs w:val="22"/>
              </w:rPr>
              <w:t>8时</w:t>
            </w:r>
          </w:p>
        </w:tc>
        <w:tc>
          <w:tcPr>
            <w:tcW w:w="967" w:type="dxa"/>
            <w:vAlign w:val="top"/>
          </w:tcPr>
          <w:p w14:paraId="70EFAF5C">
            <w:pPr>
              <w:spacing w:line="234" w:lineRule="exact"/>
              <w:rPr>
                <w:rFonts w:ascii="Arial"/>
                <w:sz w:val="36"/>
                <w:szCs w:val="36"/>
              </w:rPr>
            </w:pPr>
          </w:p>
        </w:tc>
      </w:tr>
      <w:tr w14:paraId="34CA8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437A44E9">
            <w:pPr>
              <w:rPr>
                <w:rFonts w:ascii="Arial"/>
                <w:sz w:val="40"/>
                <w:szCs w:val="36"/>
              </w:rPr>
            </w:pPr>
          </w:p>
        </w:tc>
        <w:tc>
          <w:tcPr>
            <w:tcW w:w="767" w:type="dxa"/>
            <w:vAlign w:val="top"/>
          </w:tcPr>
          <w:p w14:paraId="57858F4E">
            <w:pPr>
              <w:pStyle w:val="115"/>
              <w:spacing w:before="57" w:line="233" w:lineRule="auto"/>
              <w:ind w:left="277"/>
              <w:rPr>
                <w:sz w:val="22"/>
                <w:szCs w:val="22"/>
              </w:rPr>
            </w:pPr>
            <w:r>
              <w:rPr>
                <w:spacing w:val="2"/>
                <w:sz w:val="22"/>
                <w:szCs w:val="22"/>
              </w:rPr>
              <w:t>9时</w:t>
            </w:r>
          </w:p>
        </w:tc>
        <w:tc>
          <w:tcPr>
            <w:tcW w:w="914" w:type="dxa"/>
            <w:vAlign w:val="top"/>
          </w:tcPr>
          <w:p w14:paraId="10DF3E8A">
            <w:pPr>
              <w:spacing w:line="234" w:lineRule="exact"/>
              <w:rPr>
                <w:rFonts w:ascii="Arial"/>
                <w:sz w:val="36"/>
                <w:szCs w:val="36"/>
              </w:rPr>
            </w:pPr>
          </w:p>
        </w:tc>
        <w:tc>
          <w:tcPr>
            <w:tcW w:w="858" w:type="dxa"/>
            <w:vAlign w:val="top"/>
          </w:tcPr>
          <w:p w14:paraId="2BFD8913">
            <w:pPr>
              <w:pStyle w:val="115"/>
              <w:spacing w:before="57" w:line="233" w:lineRule="auto"/>
              <w:ind w:left="297"/>
              <w:rPr>
                <w:sz w:val="22"/>
                <w:szCs w:val="22"/>
              </w:rPr>
            </w:pPr>
            <w:r>
              <w:rPr>
                <w:sz w:val="22"/>
                <w:szCs w:val="22"/>
              </w:rPr>
              <w:t>10时</w:t>
            </w:r>
          </w:p>
        </w:tc>
        <w:tc>
          <w:tcPr>
            <w:tcW w:w="952" w:type="dxa"/>
            <w:vAlign w:val="top"/>
          </w:tcPr>
          <w:p w14:paraId="4EFE7073">
            <w:pPr>
              <w:spacing w:line="234" w:lineRule="exact"/>
              <w:rPr>
                <w:rFonts w:ascii="Arial"/>
                <w:sz w:val="36"/>
                <w:szCs w:val="36"/>
              </w:rPr>
            </w:pPr>
          </w:p>
        </w:tc>
        <w:tc>
          <w:tcPr>
            <w:tcW w:w="923" w:type="dxa"/>
            <w:vAlign w:val="top"/>
          </w:tcPr>
          <w:p w14:paraId="04F3BBBF">
            <w:pPr>
              <w:pStyle w:val="115"/>
              <w:spacing w:before="57" w:line="233" w:lineRule="auto"/>
              <w:ind w:left="332"/>
              <w:rPr>
                <w:sz w:val="22"/>
                <w:szCs w:val="22"/>
              </w:rPr>
            </w:pPr>
            <w:r>
              <w:rPr>
                <w:spacing w:val="-1"/>
                <w:sz w:val="22"/>
                <w:szCs w:val="22"/>
              </w:rPr>
              <w:t>11时</w:t>
            </w:r>
          </w:p>
        </w:tc>
        <w:tc>
          <w:tcPr>
            <w:tcW w:w="961" w:type="dxa"/>
            <w:vAlign w:val="top"/>
          </w:tcPr>
          <w:p w14:paraId="1494F698">
            <w:pPr>
              <w:spacing w:line="234" w:lineRule="exact"/>
              <w:rPr>
                <w:rFonts w:ascii="Arial"/>
                <w:sz w:val="36"/>
                <w:szCs w:val="36"/>
              </w:rPr>
            </w:pPr>
          </w:p>
        </w:tc>
        <w:tc>
          <w:tcPr>
            <w:tcW w:w="858" w:type="dxa"/>
            <w:vAlign w:val="top"/>
          </w:tcPr>
          <w:p w14:paraId="7983A070">
            <w:pPr>
              <w:pStyle w:val="115"/>
              <w:spacing w:before="57" w:line="233" w:lineRule="auto"/>
              <w:ind w:left="301"/>
              <w:rPr>
                <w:sz w:val="22"/>
                <w:szCs w:val="22"/>
              </w:rPr>
            </w:pPr>
            <w:r>
              <w:rPr>
                <w:sz w:val="22"/>
                <w:szCs w:val="22"/>
              </w:rPr>
              <w:t>12时</w:t>
            </w:r>
          </w:p>
        </w:tc>
        <w:tc>
          <w:tcPr>
            <w:tcW w:w="967" w:type="dxa"/>
            <w:vAlign w:val="top"/>
          </w:tcPr>
          <w:p w14:paraId="3190C9F7">
            <w:pPr>
              <w:spacing w:line="234" w:lineRule="exact"/>
              <w:rPr>
                <w:rFonts w:ascii="Arial"/>
                <w:sz w:val="36"/>
                <w:szCs w:val="36"/>
              </w:rPr>
            </w:pPr>
          </w:p>
        </w:tc>
      </w:tr>
      <w:tr w14:paraId="13FAC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48A5EABB">
            <w:pPr>
              <w:rPr>
                <w:rFonts w:ascii="Arial"/>
                <w:sz w:val="40"/>
                <w:szCs w:val="36"/>
              </w:rPr>
            </w:pPr>
          </w:p>
        </w:tc>
        <w:tc>
          <w:tcPr>
            <w:tcW w:w="767" w:type="dxa"/>
            <w:vAlign w:val="top"/>
          </w:tcPr>
          <w:p w14:paraId="513A1355">
            <w:pPr>
              <w:pStyle w:val="115"/>
              <w:spacing w:before="57" w:line="233" w:lineRule="auto"/>
              <w:ind w:left="250"/>
              <w:rPr>
                <w:sz w:val="22"/>
                <w:szCs w:val="22"/>
              </w:rPr>
            </w:pPr>
            <w:r>
              <w:rPr>
                <w:sz w:val="22"/>
                <w:szCs w:val="22"/>
              </w:rPr>
              <w:t>13时</w:t>
            </w:r>
          </w:p>
        </w:tc>
        <w:tc>
          <w:tcPr>
            <w:tcW w:w="914" w:type="dxa"/>
            <w:vAlign w:val="top"/>
          </w:tcPr>
          <w:p w14:paraId="7011A6E5">
            <w:pPr>
              <w:spacing w:line="234" w:lineRule="exact"/>
              <w:rPr>
                <w:rFonts w:ascii="Arial"/>
                <w:sz w:val="36"/>
                <w:szCs w:val="36"/>
              </w:rPr>
            </w:pPr>
          </w:p>
        </w:tc>
        <w:tc>
          <w:tcPr>
            <w:tcW w:w="858" w:type="dxa"/>
            <w:vAlign w:val="top"/>
          </w:tcPr>
          <w:p w14:paraId="12009321">
            <w:pPr>
              <w:pStyle w:val="115"/>
              <w:spacing w:before="57" w:line="233" w:lineRule="auto"/>
              <w:ind w:left="297"/>
              <w:rPr>
                <w:sz w:val="22"/>
                <w:szCs w:val="22"/>
              </w:rPr>
            </w:pPr>
            <w:r>
              <w:rPr>
                <w:sz w:val="22"/>
                <w:szCs w:val="22"/>
              </w:rPr>
              <w:t>14时</w:t>
            </w:r>
          </w:p>
        </w:tc>
        <w:tc>
          <w:tcPr>
            <w:tcW w:w="952" w:type="dxa"/>
            <w:vAlign w:val="top"/>
          </w:tcPr>
          <w:p w14:paraId="2E222FBD">
            <w:pPr>
              <w:spacing w:line="234" w:lineRule="exact"/>
              <w:rPr>
                <w:rFonts w:ascii="Arial"/>
                <w:sz w:val="36"/>
                <w:szCs w:val="36"/>
              </w:rPr>
            </w:pPr>
          </w:p>
        </w:tc>
        <w:tc>
          <w:tcPr>
            <w:tcW w:w="923" w:type="dxa"/>
            <w:vAlign w:val="top"/>
          </w:tcPr>
          <w:p w14:paraId="270462B1">
            <w:pPr>
              <w:pStyle w:val="115"/>
              <w:spacing w:before="57" w:line="233" w:lineRule="auto"/>
              <w:ind w:left="332"/>
              <w:rPr>
                <w:sz w:val="22"/>
                <w:szCs w:val="22"/>
              </w:rPr>
            </w:pPr>
            <w:r>
              <w:rPr>
                <w:spacing w:val="-1"/>
                <w:sz w:val="22"/>
                <w:szCs w:val="22"/>
              </w:rPr>
              <w:t>15时</w:t>
            </w:r>
          </w:p>
        </w:tc>
        <w:tc>
          <w:tcPr>
            <w:tcW w:w="961" w:type="dxa"/>
            <w:vAlign w:val="top"/>
          </w:tcPr>
          <w:p w14:paraId="7734B59B">
            <w:pPr>
              <w:spacing w:line="234" w:lineRule="exact"/>
              <w:rPr>
                <w:rFonts w:ascii="Arial"/>
                <w:sz w:val="36"/>
                <w:szCs w:val="36"/>
              </w:rPr>
            </w:pPr>
          </w:p>
        </w:tc>
        <w:tc>
          <w:tcPr>
            <w:tcW w:w="858" w:type="dxa"/>
            <w:vAlign w:val="top"/>
          </w:tcPr>
          <w:p w14:paraId="6AA3F51A">
            <w:pPr>
              <w:pStyle w:val="115"/>
              <w:spacing w:before="57" w:line="233" w:lineRule="auto"/>
              <w:ind w:left="301"/>
              <w:rPr>
                <w:sz w:val="22"/>
                <w:szCs w:val="22"/>
              </w:rPr>
            </w:pPr>
            <w:r>
              <w:rPr>
                <w:sz w:val="22"/>
                <w:szCs w:val="22"/>
              </w:rPr>
              <w:t>16时</w:t>
            </w:r>
          </w:p>
        </w:tc>
        <w:tc>
          <w:tcPr>
            <w:tcW w:w="967" w:type="dxa"/>
            <w:vAlign w:val="top"/>
          </w:tcPr>
          <w:p w14:paraId="55C42B2D">
            <w:pPr>
              <w:spacing w:line="234" w:lineRule="exact"/>
              <w:rPr>
                <w:rFonts w:ascii="Arial"/>
                <w:sz w:val="36"/>
                <w:szCs w:val="36"/>
              </w:rPr>
            </w:pPr>
          </w:p>
        </w:tc>
      </w:tr>
      <w:tr w14:paraId="6CAC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bottom w:val="nil"/>
            </w:tcBorders>
            <w:vAlign w:val="top"/>
          </w:tcPr>
          <w:p w14:paraId="20806C29">
            <w:pPr>
              <w:rPr>
                <w:rFonts w:ascii="Arial"/>
                <w:sz w:val="40"/>
                <w:szCs w:val="36"/>
              </w:rPr>
            </w:pPr>
          </w:p>
        </w:tc>
        <w:tc>
          <w:tcPr>
            <w:tcW w:w="767" w:type="dxa"/>
            <w:vAlign w:val="top"/>
          </w:tcPr>
          <w:p w14:paraId="57F908C5">
            <w:pPr>
              <w:pStyle w:val="115"/>
              <w:spacing w:before="57" w:line="233" w:lineRule="auto"/>
              <w:ind w:left="250"/>
              <w:rPr>
                <w:sz w:val="22"/>
                <w:szCs w:val="22"/>
              </w:rPr>
            </w:pPr>
            <w:r>
              <w:rPr>
                <w:sz w:val="22"/>
                <w:szCs w:val="22"/>
              </w:rPr>
              <w:t>17时</w:t>
            </w:r>
          </w:p>
        </w:tc>
        <w:tc>
          <w:tcPr>
            <w:tcW w:w="914" w:type="dxa"/>
            <w:vAlign w:val="top"/>
          </w:tcPr>
          <w:p w14:paraId="5195E19C">
            <w:pPr>
              <w:spacing w:line="234" w:lineRule="exact"/>
              <w:rPr>
                <w:rFonts w:ascii="Arial"/>
                <w:sz w:val="36"/>
                <w:szCs w:val="36"/>
              </w:rPr>
            </w:pPr>
          </w:p>
        </w:tc>
        <w:tc>
          <w:tcPr>
            <w:tcW w:w="858" w:type="dxa"/>
            <w:vAlign w:val="top"/>
          </w:tcPr>
          <w:p w14:paraId="1C2E6A4D">
            <w:pPr>
              <w:pStyle w:val="115"/>
              <w:spacing w:before="57" w:line="233" w:lineRule="auto"/>
              <w:ind w:left="297"/>
              <w:rPr>
                <w:sz w:val="22"/>
                <w:szCs w:val="22"/>
              </w:rPr>
            </w:pPr>
            <w:r>
              <w:rPr>
                <w:sz w:val="22"/>
                <w:szCs w:val="22"/>
              </w:rPr>
              <w:t>18时</w:t>
            </w:r>
          </w:p>
        </w:tc>
        <w:tc>
          <w:tcPr>
            <w:tcW w:w="952" w:type="dxa"/>
            <w:vAlign w:val="top"/>
          </w:tcPr>
          <w:p w14:paraId="2FD4E67C">
            <w:pPr>
              <w:spacing w:line="234" w:lineRule="exact"/>
              <w:rPr>
                <w:rFonts w:ascii="Arial"/>
                <w:sz w:val="36"/>
                <w:szCs w:val="36"/>
              </w:rPr>
            </w:pPr>
          </w:p>
        </w:tc>
        <w:tc>
          <w:tcPr>
            <w:tcW w:w="923" w:type="dxa"/>
            <w:vAlign w:val="top"/>
          </w:tcPr>
          <w:p w14:paraId="13CCD91D">
            <w:pPr>
              <w:pStyle w:val="115"/>
              <w:spacing w:before="57" w:line="233" w:lineRule="auto"/>
              <w:ind w:left="332"/>
              <w:rPr>
                <w:sz w:val="22"/>
                <w:szCs w:val="22"/>
              </w:rPr>
            </w:pPr>
            <w:r>
              <w:rPr>
                <w:spacing w:val="-1"/>
                <w:sz w:val="22"/>
                <w:szCs w:val="22"/>
              </w:rPr>
              <w:t>19时</w:t>
            </w:r>
          </w:p>
        </w:tc>
        <w:tc>
          <w:tcPr>
            <w:tcW w:w="961" w:type="dxa"/>
            <w:vAlign w:val="top"/>
          </w:tcPr>
          <w:p w14:paraId="4EF20D52">
            <w:pPr>
              <w:spacing w:line="234" w:lineRule="exact"/>
              <w:rPr>
                <w:rFonts w:ascii="Arial"/>
                <w:sz w:val="36"/>
                <w:szCs w:val="36"/>
              </w:rPr>
            </w:pPr>
          </w:p>
        </w:tc>
        <w:tc>
          <w:tcPr>
            <w:tcW w:w="858" w:type="dxa"/>
            <w:vAlign w:val="top"/>
          </w:tcPr>
          <w:p w14:paraId="64EAA410">
            <w:pPr>
              <w:pStyle w:val="115"/>
              <w:spacing w:before="57" w:line="233" w:lineRule="auto"/>
              <w:ind w:left="292"/>
              <w:rPr>
                <w:sz w:val="22"/>
                <w:szCs w:val="22"/>
              </w:rPr>
            </w:pPr>
            <w:r>
              <w:rPr>
                <w:spacing w:val="3"/>
                <w:sz w:val="22"/>
                <w:szCs w:val="22"/>
              </w:rPr>
              <w:t>20时</w:t>
            </w:r>
          </w:p>
        </w:tc>
        <w:tc>
          <w:tcPr>
            <w:tcW w:w="967" w:type="dxa"/>
            <w:vAlign w:val="top"/>
          </w:tcPr>
          <w:p w14:paraId="0129A8C0">
            <w:pPr>
              <w:spacing w:line="234" w:lineRule="exact"/>
              <w:rPr>
                <w:rFonts w:ascii="Arial"/>
                <w:sz w:val="36"/>
                <w:szCs w:val="36"/>
              </w:rPr>
            </w:pPr>
          </w:p>
        </w:tc>
      </w:tr>
      <w:tr w14:paraId="219C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991" w:type="dxa"/>
            <w:gridSpan w:val="2"/>
            <w:vMerge w:val="continue"/>
            <w:tcBorders>
              <w:top w:val="nil"/>
            </w:tcBorders>
            <w:vAlign w:val="top"/>
          </w:tcPr>
          <w:p w14:paraId="2D982CB8">
            <w:pPr>
              <w:rPr>
                <w:rFonts w:ascii="Arial"/>
                <w:sz w:val="40"/>
                <w:szCs w:val="36"/>
              </w:rPr>
            </w:pPr>
          </w:p>
        </w:tc>
        <w:tc>
          <w:tcPr>
            <w:tcW w:w="767" w:type="dxa"/>
            <w:vAlign w:val="top"/>
          </w:tcPr>
          <w:p w14:paraId="591B18BF">
            <w:pPr>
              <w:pStyle w:val="115"/>
              <w:spacing w:before="58" w:line="232" w:lineRule="auto"/>
              <w:ind w:left="240"/>
              <w:rPr>
                <w:sz w:val="22"/>
                <w:szCs w:val="22"/>
              </w:rPr>
            </w:pPr>
            <w:r>
              <w:rPr>
                <w:spacing w:val="3"/>
                <w:sz w:val="22"/>
                <w:szCs w:val="22"/>
              </w:rPr>
              <w:t>21时</w:t>
            </w:r>
          </w:p>
        </w:tc>
        <w:tc>
          <w:tcPr>
            <w:tcW w:w="914" w:type="dxa"/>
            <w:vAlign w:val="top"/>
          </w:tcPr>
          <w:p w14:paraId="0DD0C787">
            <w:pPr>
              <w:spacing w:line="234" w:lineRule="exact"/>
              <w:rPr>
                <w:rFonts w:ascii="Arial"/>
                <w:sz w:val="36"/>
                <w:szCs w:val="36"/>
              </w:rPr>
            </w:pPr>
          </w:p>
        </w:tc>
        <w:tc>
          <w:tcPr>
            <w:tcW w:w="858" w:type="dxa"/>
            <w:vAlign w:val="top"/>
          </w:tcPr>
          <w:p w14:paraId="68F91036">
            <w:pPr>
              <w:pStyle w:val="115"/>
              <w:spacing w:before="58" w:line="232" w:lineRule="auto"/>
              <w:ind w:left="287"/>
              <w:rPr>
                <w:sz w:val="22"/>
                <w:szCs w:val="22"/>
              </w:rPr>
            </w:pPr>
            <w:r>
              <w:rPr>
                <w:spacing w:val="3"/>
                <w:sz w:val="22"/>
                <w:szCs w:val="22"/>
              </w:rPr>
              <w:t>22时</w:t>
            </w:r>
          </w:p>
        </w:tc>
        <w:tc>
          <w:tcPr>
            <w:tcW w:w="952" w:type="dxa"/>
            <w:vAlign w:val="top"/>
          </w:tcPr>
          <w:p w14:paraId="1CEDFEFC">
            <w:pPr>
              <w:spacing w:line="234" w:lineRule="exact"/>
              <w:rPr>
                <w:rFonts w:ascii="Arial"/>
                <w:sz w:val="36"/>
                <w:szCs w:val="36"/>
              </w:rPr>
            </w:pPr>
          </w:p>
        </w:tc>
        <w:tc>
          <w:tcPr>
            <w:tcW w:w="923" w:type="dxa"/>
            <w:vAlign w:val="top"/>
          </w:tcPr>
          <w:p w14:paraId="53E686B3">
            <w:pPr>
              <w:pStyle w:val="115"/>
              <w:spacing w:before="58" w:line="232" w:lineRule="auto"/>
              <w:ind w:left="323"/>
              <w:rPr>
                <w:sz w:val="22"/>
                <w:szCs w:val="22"/>
              </w:rPr>
            </w:pPr>
            <w:r>
              <w:rPr>
                <w:spacing w:val="2"/>
                <w:sz w:val="22"/>
                <w:szCs w:val="22"/>
              </w:rPr>
              <w:t>23时</w:t>
            </w:r>
          </w:p>
        </w:tc>
        <w:tc>
          <w:tcPr>
            <w:tcW w:w="961" w:type="dxa"/>
            <w:vAlign w:val="top"/>
          </w:tcPr>
          <w:p w14:paraId="42F8343B">
            <w:pPr>
              <w:spacing w:line="234" w:lineRule="exact"/>
              <w:rPr>
                <w:rFonts w:ascii="Arial"/>
                <w:sz w:val="36"/>
                <w:szCs w:val="36"/>
              </w:rPr>
            </w:pPr>
          </w:p>
        </w:tc>
        <w:tc>
          <w:tcPr>
            <w:tcW w:w="858" w:type="dxa"/>
            <w:vAlign w:val="top"/>
          </w:tcPr>
          <w:p w14:paraId="0CB52564">
            <w:pPr>
              <w:pStyle w:val="115"/>
              <w:spacing w:before="58" w:line="232" w:lineRule="auto"/>
              <w:ind w:left="292"/>
              <w:rPr>
                <w:sz w:val="22"/>
                <w:szCs w:val="22"/>
              </w:rPr>
            </w:pPr>
            <w:r>
              <w:rPr>
                <w:spacing w:val="3"/>
                <w:sz w:val="22"/>
                <w:szCs w:val="22"/>
              </w:rPr>
              <w:t>24时</w:t>
            </w:r>
          </w:p>
        </w:tc>
        <w:tc>
          <w:tcPr>
            <w:tcW w:w="967" w:type="dxa"/>
            <w:vAlign w:val="top"/>
          </w:tcPr>
          <w:p w14:paraId="419C00EC">
            <w:pPr>
              <w:spacing w:line="234" w:lineRule="exact"/>
              <w:rPr>
                <w:rFonts w:ascii="Arial"/>
                <w:sz w:val="36"/>
                <w:szCs w:val="36"/>
              </w:rPr>
            </w:pPr>
          </w:p>
        </w:tc>
      </w:tr>
      <w:tr w14:paraId="25E94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9191" w:type="dxa"/>
            <w:gridSpan w:val="10"/>
            <w:vAlign w:val="top"/>
          </w:tcPr>
          <w:p w14:paraId="3776E696">
            <w:pPr>
              <w:spacing w:line="171" w:lineRule="exact"/>
              <w:rPr>
                <w:rFonts w:ascii="Arial"/>
                <w:sz w:val="22"/>
                <w:szCs w:val="36"/>
              </w:rPr>
            </w:pPr>
          </w:p>
        </w:tc>
      </w:tr>
      <w:tr w14:paraId="40A33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2758" w:type="dxa"/>
            <w:gridSpan w:val="3"/>
            <w:vAlign w:val="top"/>
          </w:tcPr>
          <w:p w14:paraId="45DE44B0">
            <w:pPr>
              <w:pStyle w:val="115"/>
              <w:spacing w:before="53" w:line="207" w:lineRule="auto"/>
              <w:ind w:left="56"/>
              <w:rPr>
                <w:sz w:val="22"/>
                <w:szCs w:val="22"/>
              </w:rPr>
            </w:pPr>
            <w:r>
              <w:rPr>
                <w:rFonts w:ascii="微软雅黑" w:hAnsi="微软雅黑" w:eastAsia="微软雅黑" w:cs="微软雅黑"/>
                <w:spacing w:val="11"/>
                <w:sz w:val="22"/>
                <w:szCs w:val="22"/>
              </w:rPr>
              <w:t>口</w:t>
            </w:r>
            <w:r>
              <w:rPr>
                <w:b/>
                <w:bCs/>
                <w:spacing w:val="11"/>
                <w:sz w:val="22"/>
                <w:szCs w:val="22"/>
              </w:rPr>
              <w:t>套餐二：市场均价+浮动价格套餐</w:t>
            </w:r>
          </w:p>
        </w:tc>
        <w:tc>
          <w:tcPr>
            <w:tcW w:w="6433" w:type="dxa"/>
            <w:gridSpan w:val="7"/>
            <w:vAlign w:val="top"/>
          </w:tcPr>
          <w:p w14:paraId="2C7EAA6A">
            <w:pPr>
              <w:pStyle w:val="115"/>
              <w:spacing w:before="72" w:line="231" w:lineRule="auto"/>
              <w:ind w:left="41"/>
              <w:rPr>
                <w:sz w:val="22"/>
                <w:szCs w:val="22"/>
              </w:rPr>
            </w:pPr>
            <w:r>
              <w:rPr>
                <w:b/>
                <w:bCs/>
                <w:spacing w:val="4"/>
                <w:sz w:val="22"/>
                <w:szCs w:val="22"/>
              </w:rPr>
              <w:t>电能量比例系数为K</w:t>
            </w:r>
            <w:r>
              <w:rPr>
                <w:b/>
                <w:bCs/>
                <w:spacing w:val="4"/>
                <w:sz w:val="20"/>
                <w:szCs w:val="20"/>
              </w:rPr>
              <w:t>2</w:t>
            </w:r>
            <w:r>
              <w:rPr>
                <w:b/>
                <w:bCs/>
                <w:spacing w:val="4"/>
                <w:sz w:val="22"/>
                <w:szCs w:val="22"/>
              </w:rPr>
              <w:t>%</w:t>
            </w:r>
          </w:p>
        </w:tc>
      </w:tr>
      <w:tr w14:paraId="78D24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2758" w:type="dxa"/>
            <w:gridSpan w:val="3"/>
            <w:vAlign w:val="top"/>
          </w:tcPr>
          <w:p w14:paraId="6C58DD1D">
            <w:pPr>
              <w:pStyle w:val="115"/>
              <w:spacing w:before="67" w:line="230" w:lineRule="auto"/>
              <w:ind w:left="221"/>
              <w:rPr>
                <w:sz w:val="18"/>
                <w:szCs w:val="18"/>
              </w:rPr>
            </w:pPr>
            <w:r>
              <w:rPr>
                <w:b/>
                <w:bCs/>
                <w:spacing w:val="3"/>
                <w:sz w:val="22"/>
                <w:szCs w:val="22"/>
              </w:rPr>
              <w:t>甲方各时段电能量价格P</w:t>
            </w:r>
            <w:r>
              <w:rPr>
                <w:b/>
                <w:bCs/>
                <w:spacing w:val="3"/>
                <w:sz w:val="18"/>
                <w:szCs w:val="18"/>
              </w:rPr>
              <w:t>2T</w:t>
            </w:r>
            <w:r>
              <w:rPr>
                <w:b/>
                <w:bCs/>
                <w:spacing w:val="3"/>
                <w:sz w:val="22"/>
                <w:szCs w:val="22"/>
              </w:rPr>
              <w:t>=</w:t>
            </w:r>
            <w:r>
              <w:rPr>
                <w:spacing w:val="3"/>
                <w:sz w:val="22"/>
                <w:szCs w:val="22"/>
              </w:rPr>
              <w:t>P</w:t>
            </w:r>
            <w:r>
              <w:rPr>
                <w:spacing w:val="3"/>
                <w:sz w:val="18"/>
                <w:szCs w:val="18"/>
              </w:rPr>
              <w:t>售均T</w:t>
            </w:r>
            <w:r>
              <w:rPr>
                <w:spacing w:val="3"/>
                <w:sz w:val="22"/>
                <w:szCs w:val="22"/>
              </w:rPr>
              <w:t>+P</w:t>
            </w:r>
            <w:r>
              <w:rPr>
                <w:spacing w:val="3"/>
                <w:sz w:val="18"/>
                <w:szCs w:val="18"/>
              </w:rPr>
              <w:t>浮动T</w:t>
            </w:r>
          </w:p>
        </w:tc>
        <w:tc>
          <w:tcPr>
            <w:tcW w:w="6433" w:type="dxa"/>
            <w:gridSpan w:val="7"/>
            <w:vAlign w:val="top"/>
          </w:tcPr>
          <w:p w14:paraId="7ED45911">
            <w:pPr>
              <w:pStyle w:val="115"/>
              <w:spacing w:before="67" w:line="232" w:lineRule="auto"/>
              <w:ind w:left="2441"/>
              <w:rPr>
                <w:sz w:val="22"/>
                <w:szCs w:val="22"/>
              </w:rPr>
            </w:pPr>
            <w:r>
              <w:rPr>
                <w:b/>
                <w:bCs/>
                <w:spacing w:val="3"/>
                <w:sz w:val="22"/>
                <w:szCs w:val="22"/>
              </w:rPr>
              <w:t>P</w:t>
            </w:r>
            <w:r>
              <w:rPr>
                <w:b/>
                <w:bCs/>
                <w:spacing w:val="3"/>
                <w:sz w:val="18"/>
                <w:szCs w:val="18"/>
              </w:rPr>
              <w:t>浮动T</w:t>
            </w:r>
            <w:r>
              <w:rPr>
                <w:b/>
                <w:bCs/>
                <w:spacing w:val="3"/>
                <w:sz w:val="22"/>
                <w:szCs w:val="22"/>
              </w:rPr>
              <w:t>=</w:t>
            </w:r>
            <w:r>
              <w:rPr>
                <w:spacing w:val="7"/>
                <w:sz w:val="22"/>
                <w:szCs w:val="22"/>
                <w:u w:val="single" w:color="auto"/>
              </w:rPr>
              <w:t xml:space="preserve">       </w:t>
            </w:r>
            <w:r>
              <w:rPr>
                <w:b/>
                <w:bCs/>
                <w:spacing w:val="3"/>
                <w:sz w:val="22"/>
                <w:szCs w:val="22"/>
              </w:rPr>
              <w:t>元/兆瓦时</w:t>
            </w:r>
          </w:p>
        </w:tc>
      </w:tr>
      <w:tr w14:paraId="2FE3D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9191" w:type="dxa"/>
            <w:gridSpan w:val="10"/>
            <w:vAlign w:val="top"/>
          </w:tcPr>
          <w:p w14:paraId="52AB8E5C">
            <w:pPr>
              <w:spacing w:line="193" w:lineRule="exact"/>
              <w:rPr>
                <w:rFonts w:ascii="Arial"/>
                <w:sz w:val="28"/>
                <w:szCs w:val="36"/>
              </w:rPr>
            </w:pPr>
          </w:p>
        </w:tc>
      </w:tr>
      <w:tr w14:paraId="23912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2758" w:type="dxa"/>
            <w:gridSpan w:val="3"/>
            <w:vAlign w:val="top"/>
          </w:tcPr>
          <w:p w14:paraId="7125F155">
            <w:pPr>
              <w:pStyle w:val="115"/>
              <w:spacing w:before="63" w:line="187" w:lineRule="auto"/>
              <w:ind w:left="57"/>
              <w:rPr>
                <w:sz w:val="22"/>
                <w:szCs w:val="22"/>
              </w:rPr>
            </w:pPr>
            <w:r>
              <w:rPr>
                <w:rFonts w:ascii="微软雅黑" w:hAnsi="微软雅黑" w:eastAsia="微软雅黑" w:cs="微软雅黑"/>
                <w:spacing w:val="12"/>
                <w:sz w:val="22"/>
                <w:szCs w:val="22"/>
              </w:rPr>
              <w:t>口</w:t>
            </w:r>
            <w:r>
              <w:rPr>
                <w:b/>
                <w:bCs/>
                <w:spacing w:val="12"/>
                <w:sz w:val="22"/>
                <w:szCs w:val="22"/>
              </w:rPr>
              <w:t>套餐三：价差分成套餐</w:t>
            </w:r>
          </w:p>
        </w:tc>
        <w:tc>
          <w:tcPr>
            <w:tcW w:w="6433" w:type="dxa"/>
            <w:gridSpan w:val="7"/>
            <w:vAlign w:val="top"/>
          </w:tcPr>
          <w:p w14:paraId="626FC909">
            <w:pPr>
              <w:pStyle w:val="115"/>
              <w:spacing w:before="68" w:line="231" w:lineRule="auto"/>
              <w:ind w:left="41"/>
              <w:rPr>
                <w:sz w:val="22"/>
                <w:szCs w:val="22"/>
              </w:rPr>
            </w:pPr>
            <w:r>
              <w:rPr>
                <w:b/>
                <w:bCs/>
                <w:spacing w:val="4"/>
                <w:sz w:val="22"/>
                <w:szCs w:val="22"/>
              </w:rPr>
              <w:t>电能量比例系数为K</w:t>
            </w:r>
            <w:r>
              <w:rPr>
                <w:b/>
                <w:bCs/>
                <w:spacing w:val="4"/>
                <w:sz w:val="20"/>
                <w:szCs w:val="20"/>
              </w:rPr>
              <w:t>3</w:t>
            </w:r>
            <w:r>
              <w:rPr>
                <w:b/>
                <w:bCs/>
                <w:spacing w:val="4"/>
                <w:sz w:val="22"/>
                <w:szCs w:val="22"/>
              </w:rPr>
              <w:t>%</w:t>
            </w:r>
          </w:p>
        </w:tc>
      </w:tr>
      <w:tr w14:paraId="2C87C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9191" w:type="dxa"/>
            <w:gridSpan w:val="10"/>
            <w:vAlign w:val="top"/>
          </w:tcPr>
          <w:p w14:paraId="431DB9A4">
            <w:pPr>
              <w:pStyle w:val="115"/>
              <w:spacing w:before="58" w:line="230" w:lineRule="auto"/>
              <w:ind w:left="46"/>
              <w:rPr>
                <w:sz w:val="22"/>
                <w:szCs w:val="22"/>
              </w:rPr>
            </w:pPr>
            <w:r>
              <w:rPr>
                <w:b/>
                <w:bCs/>
                <w:spacing w:val="3"/>
                <w:sz w:val="22"/>
                <w:szCs w:val="22"/>
              </w:rPr>
              <w:t>甲方各时段电能量价格P</w:t>
            </w:r>
            <w:r>
              <w:rPr>
                <w:b/>
                <w:bCs/>
                <w:spacing w:val="3"/>
                <w:sz w:val="18"/>
                <w:szCs w:val="18"/>
              </w:rPr>
              <w:t>3T</w:t>
            </w:r>
            <w:r>
              <w:rPr>
                <w:b/>
                <w:bCs/>
                <w:spacing w:val="3"/>
                <w:sz w:val="22"/>
                <w:szCs w:val="22"/>
              </w:rPr>
              <w:t>=P</w:t>
            </w:r>
            <w:r>
              <w:rPr>
                <w:b/>
                <w:bCs/>
                <w:spacing w:val="3"/>
                <w:sz w:val="18"/>
                <w:szCs w:val="18"/>
              </w:rPr>
              <w:t>基T</w:t>
            </w:r>
            <w:r>
              <w:rPr>
                <w:b/>
                <w:bCs/>
                <w:spacing w:val="3"/>
                <w:sz w:val="22"/>
                <w:szCs w:val="22"/>
              </w:rPr>
              <w:t>-（P</w:t>
            </w:r>
            <w:r>
              <w:rPr>
                <w:b/>
                <w:bCs/>
                <w:spacing w:val="3"/>
                <w:sz w:val="18"/>
                <w:szCs w:val="18"/>
              </w:rPr>
              <w:t>基T</w:t>
            </w:r>
            <w:r>
              <w:rPr>
                <w:b/>
                <w:bCs/>
                <w:spacing w:val="3"/>
                <w:sz w:val="22"/>
                <w:szCs w:val="22"/>
              </w:rPr>
              <w:t>-P</w:t>
            </w:r>
            <w:r>
              <w:rPr>
                <w:b/>
                <w:bCs/>
                <w:spacing w:val="3"/>
                <w:sz w:val="18"/>
                <w:szCs w:val="18"/>
              </w:rPr>
              <w:t>售均</w:t>
            </w:r>
            <w:r>
              <w:rPr>
                <w:b/>
                <w:bCs/>
                <w:spacing w:val="2"/>
                <w:sz w:val="18"/>
                <w:szCs w:val="18"/>
              </w:rPr>
              <w:t>T</w:t>
            </w:r>
            <w:r>
              <w:rPr>
                <w:b/>
                <w:bCs/>
                <w:spacing w:val="2"/>
                <w:sz w:val="22"/>
                <w:szCs w:val="22"/>
              </w:rPr>
              <w:t>）</w:t>
            </w:r>
            <w:r>
              <w:rPr>
                <w:spacing w:val="-35"/>
                <w:sz w:val="22"/>
                <w:szCs w:val="22"/>
              </w:rPr>
              <w:t xml:space="preserve"> </w:t>
            </w:r>
            <w:r>
              <w:rPr>
                <w:b/>
                <w:bCs/>
                <w:spacing w:val="2"/>
                <w:sz w:val="22"/>
                <w:szCs w:val="22"/>
              </w:rPr>
              <w:t>×K</w:t>
            </w:r>
            <w:r>
              <w:rPr>
                <w:b/>
                <w:bCs/>
                <w:spacing w:val="2"/>
                <w:sz w:val="18"/>
                <w:szCs w:val="18"/>
              </w:rPr>
              <w:t>分成</w:t>
            </w:r>
            <w:r>
              <w:rPr>
                <w:b/>
                <w:bCs/>
                <w:spacing w:val="2"/>
                <w:sz w:val="22"/>
                <w:szCs w:val="22"/>
              </w:rPr>
              <w:t>%</w:t>
            </w:r>
          </w:p>
        </w:tc>
      </w:tr>
      <w:tr w14:paraId="4D94C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670" w:type="dxa"/>
            <w:vMerge w:val="restart"/>
            <w:tcBorders>
              <w:bottom w:val="nil"/>
            </w:tcBorders>
            <w:vAlign w:val="top"/>
          </w:tcPr>
          <w:p w14:paraId="4755761F">
            <w:pPr>
              <w:spacing w:line="305" w:lineRule="auto"/>
              <w:rPr>
                <w:rFonts w:ascii="Arial"/>
                <w:sz w:val="40"/>
                <w:szCs w:val="36"/>
              </w:rPr>
            </w:pPr>
          </w:p>
          <w:p w14:paraId="222CAA3D">
            <w:pPr>
              <w:spacing w:line="305" w:lineRule="auto"/>
              <w:rPr>
                <w:rFonts w:ascii="Arial"/>
                <w:sz w:val="40"/>
                <w:szCs w:val="36"/>
              </w:rPr>
            </w:pPr>
          </w:p>
          <w:p w14:paraId="6C42CED4">
            <w:pPr>
              <w:spacing w:line="305" w:lineRule="auto"/>
              <w:rPr>
                <w:rFonts w:ascii="Arial"/>
                <w:sz w:val="40"/>
                <w:szCs w:val="36"/>
              </w:rPr>
            </w:pPr>
          </w:p>
          <w:p w14:paraId="03FC90AC">
            <w:pPr>
              <w:pStyle w:val="115"/>
              <w:spacing w:before="46" w:line="232" w:lineRule="auto"/>
              <w:ind w:left="163"/>
              <w:rPr>
                <w:sz w:val="22"/>
                <w:szCs w:val="22"/>
              </w:rPr>
            </w:pPr>
            <w:r>
              <w:rPr>
                <w:b/>
                <w:bCs/>
                <w:spacing w:val="2"/>
                <w:sz w:val="22"/>
                <w:szCs w:val="22"/>
              </w:rPr>
              <w:t>P</w:t>
            </w:r>
            <w:r>
              <w:rPr>
                <w:b/>
                <w:bCs/>
                <w:spacing w:val="2"/>
                <w:sz w:val="18"/>
                <w:szCs w:val="18"/>
              </w:rPr>
              <w:t>基T</w:t>
            </w:r>
            <w:r>
              <w:rPr>
                <w:spacing w:val="2"/>
                <w:sz w:val="22"/>
                <w:szCs w:val="22"/>
              </w:rPr>
              <w:t>为</w:t>
            </w:r>
          </w:p>
        </w:tc>
        <w:tc>
          <w:tcPr>
            <w:tcW w:w="1321" w:type="dxa"/>
            <w:vMerge w:val="restart"/>
            <w:tcBorders>
              <w:bottom w:val="nil"/>
            </w:tcBorders>
            <w:vAlign w:val="top"/>
          </w:tcPr>
          <w:p w14:paraId="5B06B105">
            <w:pPr>
              <w:pStyle w:val="115"/>
              <w:spacing w:before="185" w:line="208" w:lineRule="auto"/>
              <w:ind w:left="103"/>
              <w:rPr>
                <w:sz w:val="22"/>
                <w:szCs w:val="22"/>
              </w:rPr>
            </w:pPr>
            <w:r>
              <w:rPr>
                <w:rFonts w:ascii="微软雅黑" w:hAnsi="微软雅黑" w:eastAsia="微软雅黑" w:cs="微软雅黑"/>
                <w:spacing w:val="1"/>
                <w:sz w:val="28"/>
                <w:szCs w:val="28"/>
              </w:rPr>
              <w:t xml:space="preserve">口  </w:t>
            </w:r>
            <w:r>
              <w:rPr>
                <w:spacing w:val="1"/>
                <w:sz w:val="22"/>
                <w:szCs w:val="22"/>
              </w:rPr>
              <w:t>P</w:t>
            </w:r>
            <w:r>
              <w:rPr>
                <w:spacing w:val="1"/>
                <w:sz w:val="18"/>
                <w:szCs w:val="18"/>
              </w:rPr>
              <w:t>售均T</w:t>
            </w:r>
            <w:r>
              <w:rPr>
                <w:spacing w:val="1"/>
                <w:sz w:val="22"/>
                <w:szCs w:val="22"/>
              </w:rPr>
              <w:t>*K</w:t>
            </w:r>
            <w:r>
              <w:rPr>
                <w:spacing w:val="1"/>
                <w:sz w:val="18"/>
                <w:szCs w:val="18"/>
              </w:rPr>
              <w:t>浮动</w:t>
            </w:r>
            <w:r>
              <w:rPr>
                <w:spacing w:val="1"/>
                <w:sz w:val="22"/>
                <w:szCs w:val="22"/>
              </w:rPr>
              <w:t>%</w:t>
            </w:r>
          </w:p>
        </w:tc>
        <w:tc>
          <w:tcPr>
            <w:tcW w:w="7200" w:type="dxa"/>
            <w:gridSpan w:val="8"/>
            <w:vAlign w:val="top"/>
          </w:tcPr>
          <w:p w14:paraId="5BDE5646">
            <w:pPr>
              <w:pStyle w:val="115"/>
              <w:spacing w:before="69" w:line="239" w:lineRule="auto"/>
              <w:ind w:left="3076"/>
              <w:rPr>
                <w:sz w:val="22"/>
                <w:szCs w:val="22"/>
              </w:rPr>
            </w:pPr>
            <w:r>
              <w:rPr>
                <w:b/>
                <w:bCs/>
                <w:spacing w:val="2"/>
                <w:sz w:val="22"/>
                <w:szCs w:val="22"/>
              </w:rPr>
              <w:t>K</w:t>
            </w:r>
            <w:r>
              <w:rPr>
                <w:b/>
                <w:bCs/>
                <w:spacing w:val="2"/>
                <w:sz w:val="18"/>
                <w:szCs w:val="18"/>
              </w:rPr>
              <w:t>浮动</w:t>
            </w:r>
            <w:r>
              <w:rPr>
                <w:b/>
                <w:bCs/>
                <w:spacing w:val="2"/>
                <w:sz w:val="22"/>
                <w:szCs w:val="22"/>
              </w:rPr>
              <w:t>%</w:t>
            </w:r>
            <w:r>
              <w:rPr>
                <w:spacing w:val="2"/>
                <w:sz w:val="22"/>
                <w:szCs w:val="22"/>
              </w:rPr>
              <w:t>=</w:t>
            </w:r>
            <w:r>
              <w:rPr>
                <w:spacing w:val="-5"/>
                <w:sz w:val="22"/>
                <w:szCs w:val="22"/>
              </w:rPr>
              <w:t xml:space="preserve"> </w:t>
            </w:r>
            <w:r>
              <w:rPr>
                <w:spacing w:val="4"/>
                <w:sz w:val="22"/>
                <w:szCs w:val="22"/>
                <w:u w:val="single" w:color="auto"/>
              </w:rPr>
              <w:t xml:space="preserve">       </w:t>
            </w:r>
            <w:r>
              <w:rPr>
                <w:spacing w:val="2"/>
                <w:sz w:val="22"/>
                <w:szCs w:val="22"/>
              </w:rPr>
              <w:t>%</w:t>
            </w:r>
          </w:p>
        </w:tc>
      </w:tr>
      <w:tr w14:paraId="28B31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670" w:type="dxa"/>
            <w:vMerge w:val="continue"/>
            <w:tcBorders>
              <w:top w:val="nil"/>
              <w:bottom w:val="nil"/>
            </w:tcBorders>
            <w:vAlign w:val="top"/>
          </w:tcPr>
          <w:p w14:paraId="3A1D5069">
            <w:pPr>
              <w:rPr>
                <w:rFonts w:ascii="Arial"/>
                <w:sz w:val="40"/>
                <w:szCs w:val="36"/>
              </w:rPr>
            </w:pPr>
          </w:p>
        </w:tc>
        <w:tc>
          <w:tcPr>
            <w:tcW w:w="1321" w:type="dxa"/>
            <w:vMerge w:val="continue"/>
            <w:tcBorders>
              <w:top w:val="nil"/>
            </w:tcBorders>
            <w:vAlign w:val="top"/>
          </w:tcPr>
          <w:p w14:paraId="1190BE68">
            <w:pPr>
              <w:rPr>
                <w:rFonts w:ascii="Arial"/>
                <w:sz w:val="40"/>
                <w:szCs w:val="36"/>
              </w:rPr>
            </w:pPr>
          </w:p>
        </w:tc>
        <w:tc>
          <w:tcPr>
            <w:tcW w:w="7200" w:type="dxa"/>
            <w:gridSpan w:val="8"/>
            <w:vAlign w:val="top"/>
          </w:tcPr>
          <w:p w14:paraId="58836CB6">
            <w:pPr>
              <w:pStyle w:val="115"/>
              <w:spacing w:before="69" w:line="239" w:lineRule="auto"/>
              <w:ind w:left="3076"/>
              <w:rPr>
                <w:sz w:val="22"/>
                <w:szCs w:val="22"/>
              </w:rPr>
            </w:pPr>
            <w:r>
              <w:rPr>
                <w:b/>
                <w:bCs/>
                <w:spacing w:val="2"/>
                <w:sz w:val="22"/>
                <w:szCs w:val="22"/>
              </w:rPr>
              <w:t>K</w:t>
            </w:r>
            <w:r>
              <w:rPr>
                <w:b/>
                <w:bCs/>
                <w:spacing w:val="2"/>
                <w:sz w:val="18"/>
                <w:szCs w:val="18"/>
              </w:rPr>
              <w:t>分成</w:t>
            </w:r>
            <w:r>
              <w:rPr>
                <w:b/>
                <w:bCs/>
                <w:spacing w:val="2"/>
                <w:sz w:val="22"/>
                <w:szCs w:val="22"/>
              </w:rPr>
              <w:t>%</w:t>
            </w:r>
            <w:r>
              <w:rPr>
                <w:spacing w:val="2"/>
                <w:sz w:val="22"/>
                <w:szCs w:val="22"/>
              </w:rPr>
              <w:t>=</w:t>
            </w:r>
            <w:r>
              <w:rPr>
                <w:spacing w:val="-2"/>
                <w:sz w:val="22"/>
                <w:szCs w:val="22"/>
              </w:rPr>
              <w:t xml:space="preserve"> </w:t>
            </w:r>
            <w:r>
              <w:rPr>
                <w:spacing w:val="4"/>
                <w:sz w:val="22"/>
                <w:szCs w:val="22"/>
                <w:u w:val="single" w:color="auto"/>
              </w:rPr>
              <w:t xml:space="preserve">       </w:t>
            </w:r>
            <w:r>
              <w:rPr>
                <w:spacing w:val="2"/>
                <w:sz w:val="22"/>
                <w:szCs w:val="22"/>
              </w:rPr>
              <w:t>%</w:t>
            </w:r>
          </w:p>
        </w:tc>
      </w:tr>
      <w:tr w14:paraId="6D8D1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70" w:type="dxa"/>
            <w:vMerge w:val="continue"/>
            <w:tcBorders>
              <w:top w:val="nil"/>
              <w:bottom w:val="nil"/>
            </w:tcBorders>
            <w:vAlign w:val="top"/>
          </w:tcPr>
          <w:p w14:paraId="350084CF">
            <w:pPr>
              <w:rPr>
                <w:rFonts w:ascii="Arial"/>
                <w:sz w:val="40"/>
                <w:szCs w:val="36"/>
              </w:rPr>
            </w:pPr>
          </w:p>
        </w:tc>
        <w:tc>
          <w:tcPr>
            <w:tcW w:w="1321" w:type="dxa"/>
            <w:vMerge w:val="restart"/>
            <w:tcBorders>
              <w:bottom w:val="nil"/>
            </w:tcBorders>
            <w:vAlign w:val="top"/>
          </w:tcPr>
          <w:p w14:paraId="2A35789A">
            <w:pPr>
              <w:spacing w:line="302" w:lineRule="auto"/>
              <w:rPr>
                <w:rFonts w:ascii="Arial"/>
                <w:sz w:val="40"/>
                <w:szCs w:val="36"/>
              </w:rPr>
            </w:pPr>
          </w:p>
          <w:p w14:paraId="34FB407F">
            <w:pPr>
              <w:spacing w:line="302" w:lineRule="auto"/>
              <w:rPr>
                <w:rFonts w:ascii="Arial"/>
                <w:sz w:val="40"/>
                <w:szCs w:val="36"/>
              </w:rPr>
            </w:pPr>
          </w:p>
          <w:p w14:paraId="30E66016">
            <w:pPr>
              <w:pStyle w:val="115"/>
              <w:spacing w:before="60" w:line="206" w:lineRule="auto"/>
              <w:ind w:left="28"/>
              <w:rPr>
                <w:sz w:val="22"/>
                <w:szCs w:val="22"/>
              </w:rPr>
            </w:pPr>
            <w:r>
              <w:rPr>
                <w:b/>
                <w:bCs/>
                <w:spacing w:val="12"/>
                <w:sz w:val="22"/>
                <w:szCs w:val="22"/>
              </w:rPr>
              <w:t>或</w:t>
            </w:r>
            <w:r>
              <w:rPr>
                <w:spacing w:val="-22"/>
                <w:sz w:val="22"/>
                <w:szCs w:val="22"/>
              </w:rPr>
              <w:t xml:space="preserve"> </w:t>
            </w:r>
            <w:r>
              <w:rPr>
                <w:rFonts w:ascii="微软雅黑" w:hAnsi="微软雅黑" w:eastAsia="微软雅黑" w:cs="微软雅黑"/>
                <w:spacing w:val="12"/>
                <w:position w:val="2"/>
                <w:sz w:val="22"/>
                <w:szCs w:val="22"/>
              </w:rPr>
              <w:t>口</w:t>
            </w:r>
            <w:r>
              <w:rPr>
                <w:b/>
                <w:bCs/>
                <w:spacing w:val="12"/>
                <w:sz w:val="22"/>
                <w:szCs w:val="22"/>
              </w:rPr>
              <w:t>各时段固定值</w:t>
            </w:r>
          </w:p>
        </w:tc>
        <w:tc>
          <w:tcPr>
            <w:tcW w:w="767" w:type="dxa"/>
            <w:vAlign w:val="top"/>
          </w:tcPr>
          <w:p w14:paraId="1C1451C5">
            <w:pPr>
              <w:pStyle w:val="115"/>
              <w:spacing w:before="60" w:line="229" w:lineRule="auto"/>
              <w:ind w:left="288"/>
              <w:rPr>
                <w:sz w:val="22"/>
                <w:szCs w:val="22"/>
              </w:rPr>
            </w:pPr>
            <w:r>
              <w:rPr>
                <w:spacing w:val="-4"/>
                <w:sz w:val="22"/>
                <w:szCs w:val="22"/>
              </w:rPr>
              <w:t>1时</w:t>
            </w:r>
          </w:p>
        </w:tc>
        <w:tc>
          <w:tcPr>
            <w:tcW w:w="914" w:type="dxa"/>
            <w:vAlign w:val="top"/>
          </w:tcPr>
          <w:p w14:paraId="6F7471F9">
            <w:pPr>
              <w:spacing w:line="234" w:lineRule="exact"/>
              <w:rPr>
                <w:rFonts w:ascii="Arial"/>
                <w:sz w:val="36"/>
                <w:szCs w:val="36"/>
              </w:rPr>
            </w:pPr>
          </w:p>
        </w:tc>
        <w:tc>
          <w:tcPr>
            <w:tcW w:w="858" w:type="dxa"/>
            <w:vAlign w:val="top"/>
          </w:tcPr>
          <w:p w14:paraId="2AA13E70">
            <w:pPr>
              <w:pStyle w:val="115"/>
              <w:spacing w:before="60" w:line="229" w:lineRule="auto"/>
              <w:ind w:left="326"/>
              <w:rPr>
                <w:sz w:val="22"/>
                <w:szCs w:val="22"/>
              </w:rPr>
            </w:pPr>
            <w:r>
              <w:rPr>
                <w:spacing w:val="1"/>
                <w:sz w:val="22"/>
                <w:szCs w:val="22"/>
              </w:rPr>
              <w:t>2时</w:t>
            </w:r>
          </w:p>
        </w:tc>
        <w:tc>
          <w:tcPr>
            <w:tcW w:w="952" w:type="dxa"/>
            <w:vAlign w:val="top"/>
          </w:tcPr>
          <w:p w14:paraId="7D441AC8">
            <w:pPr>
              <w:spacing w:line="234" w:lineRule="exact"/>
              <w:rPr>
                <w:rFonts w:ascii="Arial"/>
                <w:sz w:val="36"/>
                <w:szCs w:val="36"/>
              </w:rPr>
            </w:pPr>
          </w:p>
        </w:tc>
        <w:tc>
          <w:tcPr>
            <w:tcW w:w="923" w:type="dxa"/>
            <w:vAlign w:val="top"/>
          </w:tcPr>
          <w:p w14:paraId="165A7B8B">
            <w:pPr>
              <w:pStyle w:val="115"/>
              <w:spacing w:before="60" w:line="229" w:lineRule="auto"/>
              <w:ind w:left="360"/>
              <w:rPr>
                <w:sz w:val="22"/>
                <w:szCs w:val="22"/>
              </w:rPr>
            </w:pPr>
            <w:r>
              <w:rPr>
                <w:spacing w:val="1"/>
                <w:sz w:val="22"/>
                <w:szCs w:val="22"/>
              </w:rPr>
              <w:t>3时</w:t>
            </w:r>
          </w:p>
        </w:tc>
        <w:tc>
          <w:tcPr>
            <w:tcW w:w="961" w:type="dxa"/>
            <w:vAlign w:val="top"/>
          </w:tcPr>
          <w:p w14:paraId="2723D55E">
            <w:pPr>
              <w:spacing w:line="234" w:lineRule="exact"/>
              <w:rPr>
                <w:rFonts w:ascii="Arial"/>
                <w:sz w:val="36"/>
                <w:szCs w:val="36"/>
              </w:rPr>
            </w:pPr>
          </w:p>
        </w:tc>
        <w:tc>
          <w:tcPr>
            <w:tcW w:w="858" w:type="dxa"/>
            <w:vAlign w:val="top"/>
          </w:tcPr>
          <w:p w14:paraId="7C67AEC1">
            <w:pPr>
              <w:pStyle w:val="115"/>
              <w:spacing w:before="60" w:line="229" w:lineRule="auto"/>
              <w:ind w:left="328"/>
              <w:rPr>
                <w:sz w:val="22"/>
                <w:szCs w:val="22"/>
              </w:rPr>
            </w:pPr>
            <w:r>
              <w:rPr>
                <w:spacing w:val="2"/>
                <w:sz w:val="22"/>
                <w:szCs w:val="22"/>
              </w:rPr>
              <w:t>4时</w:t>
            </w:r>
          </w:p>
        </w:tc>
        <w:tc>
          <w:tcPr>
            <w:tcW w:w="967" w:type="dxa"/>
            <w:vAlign w:val="top"/>
          </w:tcPr>
          <w:p w14:paraId="7B608460">
            <w:pPr>
              <w:spacing w:line="234" w:lineRule="exact"/>
              <w:rPr>
                <w:rFonts w:ascii="Arial"/>
                <w:sz w:val="36"/>
                <w:szCs w:val="36"/>
              </w:rPr>
            </w:pPr>
          </w:p>
        </w:tc>
      </w:tr>
      <w:tr w14:paraId="17ED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70" w:type="dxa"/>
            <w:vMerge w:val="continue"/>
            <w:tcBorders>
              <w:top w:val="nil"/>
              <w:bottom w:val="nil"/>
            </w:tcBorders>
            <w:vAlign w:val="top"/>
          </w:tcPr>
          <w:p w14:paraId="04208CBD">
            <w:pPr>
              <w:rPr>
                <w:rFonts w:ascii="Arial"/>
                <w:sz w:val="40"/>
                <w:szCs w:val="36"/>
              </w:rPr>
            </w:pPr>
          </w:p>
        </w:tc>
        <w:tc>
          <w:tcPr>
            <w:tcW w:w="1321" w:type="dxa"/>
            <w:vMerge w:val="continue"/>
            <w:tcBorders>
              <w:top w:val="nil"/>
              <w:bottom w:val="nil"/>
            </w:tcBorders>
            <w:vAlign w:val="top"/>
          </w:tcPr>
          <w:p w14:paraId="29E1B15F">
            <w:pPr>
              <w:rPr>
                <w:rFonts w:ascii="Arial"/>
                <w:sz w:val="40"/>
                <w:szCs w:val="36"/>
              </w:rPr>
            </w:pPr>
          </w:p>
        </w:tc>
        <w:tc>
          <w:tcPr>
            <w:tcW w:w="767" w:type="dxa"/>
            <w:vAlign w:val="top"/>
          </w:tcPr>
          <w:p w14:paraId="4BE81C8B">
            <w:pPr>
              <w:pStyle w:val="115"/>
              <w:spacing w:before="60" w:line="229" w:lineRule="auto"/>
              <w:ind w:left="280"/>
              <w:rPr>
                <w:sz w:val="22"/>
                <w:szCs w:val="22"/>
              </w:rPr>
            </w:pPr>
            <w:r>
              <w:rPr>
                <w:sz w:val="22"/>
                <w:szCs w:val="22"/>
              </w:rPr>
              <w:t>5时</w:t>
            </w:r>
          </w:p>
        </w:tc>
        <w:tc>
          <w:tcPr>
            <w:tcW w:w="914" w:type="dxa"/>
            <w:vAlign w:val="top"/>
          </w:tcPr>
          <w:p w14:paraId="5374A99C">
            <w:pPr>
              <w:spacing w:line="234" w:lineRule="exact"/>
              <w:rPr>
                <w:rFonts w:ascii="Arial"/>
                <w:sz w:val="36"/>
                <w:szCs w:val="36"/>
              </w:rPr>
            </w:pPr>
          </w:p>
        </w:tc>
        <w:tc>
          <w:tcPr>
            <w:tcW w:w="858" w:type="dxa"/>
            <w:vAlign w:val="top"/>
          </w:tcPr>
          <w:p w14:paraId="5483DB67">
            <w:pPr>
              <w:pStyle w:val="115"/>
              <w:spacing w:before="60" w:line="229" w:lineRule="auto"/>
              <w:ind w:left="325"/>
              <w:rPr>
                <w:sz w:val="22"/>
                <w:szCs w:val="22"/>
              </w:rPr>
            </w:pPr>
            <w:r>
              <w:rPr>
                <w:spacing w:val="1"/>
                <w:sz w:val="22"/>
                <w:szCs w:val="22"/>
              </w:rPr>
              <w:t>6时</w:t>
            </w:r>
          </w:p>
        </w:tc>
        <w:tc>
          <w:tcPr>
            <w:tcW w:w="952" w:type="dxa"/>
            <w:vAlign w:val="top"/>
          </w:tcPr>
          <w:p w14:paraId="3EB72EF2">
            <w:pPr>
              <w:spacing w:line="234" w:lineRule="exact"/>
              <w:rPr>
                <w:rFonts w:ascii="Arial"/>
                <w:sz w:val="36"/>
                <w:szCs w:val="36"/>
              </w:rPr>
            </w:pPr>
          </w:p>
        </w:tc>
        <w:tc>
          <w:tcPr>
            <w:tcW w:w="923" w:type="dxa"/>
            <w:vAlign w:val="top"/>
          </w:tcPr>
          <w:p w14:paraId="587A4B22">
            <w:pPr>
              <w:pStyle w:val="115"/>
              <w:spacing w:before="60" w:line="229" w:lineRule="auto"/>
              <w:ind w:left="361"/>
              <w:rPr>
                <w:sz w:val="22"/>
                <w:szCs w:val="22"/>
              </w:rPr>
            </w:pPr>
            <w:r>
              <w:rPr>
                <w:spacing w:val="1"/>
                <w:sz w:val="22"/>
                <w:szCs w:val="22"/>
              </w:rPr>
              <w:t>7时</w:t>
            </w:r>
          </w:p>
        </w:tc>
        <w:tc>
          <w:tcPr>
            <w:tcW w:w="961" w:type="dxa"/>
            <w:vAlign w:val="top"/>
          </w:tcPr>
          <w:p w14:paraId="11B40863">
            <w:pPr>
              <w:spacing w:line="234" w:lineRule="exact"/>
              <w:rPr>
                <w:rFonts w:ascii="Arial"/>
                <w:sz w:val="36"/>
                <w:szCs w:val="36"/>
              </w:rPr>
            </w:pPr>
          </w:p>
        </w:tc>
        <w:tc>
          <w:tcPr>
            <w:tcW w:w="858" w:type="dxa"/>
            <w:vAlign w:val="top"/>
          </w:tcPr>
          <w:p w14:paraId="754D9BC8">
            <w:pPr>
              <w:pStyle w:val="115"/>
              <w:spacing w:before="60" w:line="229" w:lineRule="auto"/>
              <w:ind w:left="329"/>
              <w:rPr>
                <w:sz w:val="22"/>
                <w:szCs w:val="22"/>
              </w:rPr>
            </w:pPr>
            <w:r>
              <w:rPr>
                <w:spacing w:val="2"/>
                <w:sz w:val="22"/>
                <w:szCs w:val="22"/>
              </w:rPr>
              <w:t>8时</w:t>
            </w:r>
          </w:p>
        </w:tc>
        <w:tc>
          <w:tcPr>
            <w:tcW w:w="967" w:type="dxa"/>
            <w:vAlign w:val="top"/>
          </w:tcPr>
          <w:p w14:paraId="725AC1E5">
            <w:pPr>
              <w:spacing w:line="234" w:lineRule="exact"/>
              <w:rPr>
                <w:rFonts w:ascii="Arial"/>
                <w:sz w:val="36"/>
                <w:szCs w:val="36"/>
              </w:rPr>
            </w:pPr>
          </w:p>
        </w:tc>
      </w:tr>
      <w:tr w14:paraId="1986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70" w:type="dxa"/>
            <w:vMerge w:val="continue"/>
            <w:tcBorders>
              <w:top w:val="nil"/>
              <w:bottom w:val="nil"/>
            </w:tcBorders>
            <w:vAlign w:val="top"/>
          </w:tcPr>
          <w:p w14:paraId="3B15A2F8">
            <w:pPr>
              <w:rPr>
                <w:rFonts w:ascii="Arial"/>
                <w:sz w:val="40"/>
                <w:szCs w:val="36"/>
              </w:rPr>
            </w:pPr>
          </w:p>
        </w:tc>
        <w:tc>
          <w:tcPr>
            <w:tcW w:w="1321" w:type="dxa"/>
            <w:vMerge w:val="continue"/>
            <w:tcBorders>
              <w:top w:val="nil"/>
              <w:bottom w:val="nil"/>
            </w:tcBorders>
            <w:vAlign w:val="top"/>
          </w:tcPr>
          <w:p w14:paraId="3E479DB2">
            <w:pPr>
              <w:rPr>
                <w:rFonts w:ascii="Arial"/>
                <w:sz w:val="40"/>
                <w:szCs w:val="36"/>
              </w:rPr>
            </w:pPr>
          </w:p>
        </w:tc>
        <w:tc>
          <w:tcPr>
            <w:tcW w:w="767" w:type="dxa"/>
            <w:vAlign w:val="top"/>
          </w:tcPr>
          <w:p w14:paraId="328E9985">
            <w:pPr>
              <w:pStyle w:val="115"/>
              <w:spacing w:before="60" w:line="229" w:lineRule="auto"/>
              <w:ind w:left="277"/>
              <w:rPr>
                <w:sz w:val="22"/>
                <w:szCs w:val="22"/>
              </w:rPr>
            </w:pPr>
            <w:r>
              <w:rPr>
                <w:spacing w:val="2"/>
                <w:sz w:val="22"/>
                <w:szCs w:val="22"/>
              </w:rPr>
              <w:t>9时</w:t>
            </w:r>
          </w:p>
        </w:tc>
        <w:tc>
          <w:tcPr>
            <w:tcW w:w="914" w:type="dxa"/>
            <w:vAlign w:val="top"/>
          </w:tcPr>
          <w:p w14:paraId="4F5AF7AA">
            <w:pPr>
              <w:spacing w:line="234" w:lineRule="exact"/>
              <w:rPr>
                <w:rFonts w:ascii="Arial"/>
                <w:sz w:val="36"/>
                <w:szCs w:val="36"/>
              </w:rPr>
            </w:pPr>
          </w:p>
        </w:tc>
        <w:tc>
          <w:tcPr>
            <w:tcW w:w="858" w:type="dxa"/>
            <w:vAlign w:val="top"/>
          </w:tcPr>
          <w:p w14:paraId="03A5FA7C">
            <w:pPr>
              <w:pStyle w:val="115"/>
              <w:spacing w:before="60" w:line="229" w:lineRule="auto"/>
              <w:ind w:left="297"/>
              <w:rPr>
                <w:sz w:val="22"/>
                <w:szCs w:val="22"/>
              </w:rPr>
            </w:pPr>
            <w:r>
              <w:rPr>
                <w:sz w:val="22"/>
                <w:szCs w:val="22"/>
              </w:rPr>
              <w:t>10时</w:t>
            </w:r>
          </w:p>
        </w:tc>
        <w:tc>
          <w:tcPr>
            <w:tcW w:w="952" w:type="dxa"/>
            <w:vAlign w:val="top"/>
          </w:tcPr>
          <w:p w14:paraId="32BB532C">
            <w:pPr>
              <w:spacing w:line="234" w:lineRule="exact"/>
              <w:rPr>
                <w:rFonts w:ascii="Arial"/>
                <w:sz w:val="36"/>
                <w:szCs w:val="36"/>
              </w:rPr>
            </w:pPr>
          </w:p>
        </w:tc>
        <w:tc>
          <w:tcPr>
            <w:tcW w:w="923" w:type="dxa"/>
            <w:vAlign w:val="top"/>
          </w:tcPr>
          <w:p w14:paraId="79B63ABF">
            <w:pPr>
              <w:pStyle w:val="115"/>
              <w:spacing w:before="60" w:line="229" w:lineRule="auto"/>
              <w:ind w:left="332"/>
              <w:rPr>
                <w:sz w:val="22"/>
                <w:szCs w:val="22"/>
              </w:rPr>
            </w:pPr>
            <w:r>
              <w:rPr>
                <w:spacing w:val="-1"/>
                <w:sz w:val="22"/>
                <w:szCs w:val="22"/>
              </w:rPr>
              <w:t>11时</w:t>
            </w:r>
          </w:p>
        </w:tc>
        <w:tc>
          <w:tcPr>
            <w:tcW w:w="961" w:type="dxa"/>
            <w:vAlign w:val="top"/>
          </w:tcPr>
          <w:p w14:paraId="36BB0117">
            <w:pPr>
              <w:spacing w:line="234" w:lineRule="exact"/>
              <w:rPr>
                <w:rFonts w:ascii="Arial"/>
                <w:sz w:val="36"/>
                <w:szCs w:val="36"/>
              </w:rPr>
            </w:pPr>
          </w:p>
        </w:tc>
        <w:tc>
          <w:tcPr>
            <w:tcW w:w="858" w:type="dxa"/>
            <w:vAlign w:val="top"/>
          </w:tcPr>
          <w:p w14:paraId="3D65B89D">
            <w:pPr>
              <w:pStyle w:val="115"/>
              <w:spacing w:before="60" w:line="229" w:lineRule="auto"/>
              <w:ind w:left="301"/>
              <w:rPr>
                <w:sz w:val="22"/>
                <w:szCs w:val="22"/>
              </w:rPr>
            </w:pPr>
            <w:r>
              <w:rPr>
                <w:sz w:val="22"/>
                <w:szCs w:val="22"/>
              </w:rPr>
              <w:t>12时</w:t>
            </w:r>
          </w:p>
        </w:tc>
        <w:tc>
          <w:tcPr>
            <w:tcW w:w="967" w:type="dxa"/>
            <w:vAlign w:val="top"/>
          </w:tcPr>
          <w:p w14:paraId="06ECEA29">
            <w:pPr>
              <w:spacing w:line="234" w:lineRule="exact"/>
              <w:rPr>
                <w:rFonts w:ascii="Arial"/>
                <w:sz w:val="36"/>
                <w:szCs w:val="36"/>
              </w:rPr>
            </w:pPr>
          </w:p>
        </w:tc>
      </w:tr>
      <w:tr w14:paraId="5AB0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70" w:type="dxa"/>
            <w:vMerge w:val="continue"/>
            <w:tcBorders>
              <w:top w:val="nil"/>
              <w:bottom w:val="nil"/>
            </w:tcBorders>
            <w:vAlign w:val="top"/>
          </w:tcPr>
          <w:p w14:paraId="3070F8D5">
            <w:pPr>
              <w:rPr>
                <w:rFonts w:ascii="Arial"/>
                <w:sz w:val="40"/>
                <w:szCs w:val="36"/>
              </w:rPr>
            </w:pPr>
          </w:p>
        </w:tc>
        <w:tc>
          <w:tcPr>
            <w:tcW w:w="1321" w:type="dxa"/>
            <w:vMerge w:val="continue"/>
            <w:tcBorders>
              <w:top w:val="nil"/>
              <w:bottom w:val="nil"/>
            </w:tcBorders>
            <w:vAlign w:val="top"/>
          </w:tcPr>
          <w:p w14:paraId="67D52FF6">
            <w:pPr>
              <w:rPr>
                <w:rFonts w:ascii="Arial"/>
                <w:sz w:val="40"/>
                <w:szCs w:val="36"/>
              </w:rPr>
            </w:pPr>
          </w:p>
        </w:tc>
        <w:tc>
          <w:tcPr>
            <w:tcW w:w="767" w:type="dxa"/>
            <w:vAlign w:val="top"/>
          </w:tcPr>
          <w:p w14:paraId="1EC17C97">
            <w:pPr>
              <w:pStyle w:val="115"/>
              <w:spacing w:before="61" w:line="228" w:lineRule="auto"/>
              <w:ind w:left="250"/>
              <w:rPr>
                <w:sz w:val="22"/>
                <w:szCs w:val="22"/>
              </w:rPr>
            </w:pPr>
            <w:r>
              <w:rPr>
                <w:sz w:val="22"/>
                <w:szCs w:val="22"/>
              </w:rPr>
              <w:t>13时</w:t>
            </w:r>
          </w:p>
        </w:tc>
        <w:tc>
          <w:tcPr>
            <w:tcW w:w="914" w:type="dxa"/>
            <w:vAlign w:val="top"/>
          </w:tcPr>
          <w:p w14:paraId="76D0A39A">
            <w:pPr>
              <w:spacing w:line="234" w:lineRule="exact"/>
              <w:rPr>
                <w:rFonts w:ascii="Arial"/>
                <w:sz w:val="36"/>
                <w:szCs w:val="36"/>
              </w:rPr>
            </w:pPr>
          </w:p>
        </w:tc>
        <w:tc>
          <w:tcPr>
            <w:tcW w:w="858" w:type="dxa"/>
            <w:vAlign w:val="top"/>
          </w:tcPr>
          <w:p w14:paraId="62C26BDB">
            <w:pPr>
              <w:pStyle w:val="115"/>
              <w:spacing w:before="61" w:line="228" w:lineRule="auto"/>
              <w:ind w:left="297"/>
              <w:rPr>
                <w:sz w:val="22"/>
                <w:szCs w:val="22"/>
              </w:rPr>
            </w:pPr>
            <w:r>
              <w:rPr>
                <w:sz w:val="22"/>
                <w:szCs w:val="22"/>
              </w:rPr>
              <w:t>14时</w:t>
            </w:r>
          </w:p>
        </w:tc>
        <w:tc>
          <w:tcPr>
            <w:tcW w:w="952" w:type="dxa"/>
            <w:vAlign w:val="top"/>
          </w:tcPr>
          <w:p w14:paraId="04C3843F">
            <w:pPr>
              <w:spacing w:line="234" w:lineRule="exact"/>
              <w:rPr>
                <w:rFonts w:ascii="Arial"/>
                <w:sz w:val="36"/>
                <w:szCs w:val="36"/>
              </w:rPr>
            </w:pPr>
          </w:p>
        </w:tc>
        <w:tc>
          <w:tcPr>
            <w:tcW w:w="923" w:type="dxa"/>
            <w:vAlign w:val="top"/>
          </w:tcPr>
          <w:p w14:paraId="5FF93C17">
            <w:pPr>
              <w:pStyle w:val="115"/>
              <w:spacing w:before="61" w:line="228" w:lineRule="auto"/>
              <w:ind w:left="332"/>
              <w:rPr>
                <w:sz w:val="22"/>
                <w:szCs w:val="22"/>
              </w:rPr>
            </w:pPr>
            <w:r>
              <w:rPr>
                <w:spacing w:val="-1"/>
                <w:sz w:val="22"/>
                <w:szCs w:val="22"/>
              </w:rPr>
              <w:t>15时</w:t>
            </w:r>
          </w:p>
        </w:tc>
        <w:tc>
          <w:tcPr>
            <w:tcW w:w="961" w:type="dxa"/>
            <w:vAlign w:val="top"/>
          </w:tcPr>
          <w:p w14:paraId="089D1A57">
            <w:pPr>
              <w:spacing w:line="234" w:lineRule="exact"/>
              <w:rPr>
                <w:rFonts w:ascii="Arial"/>
                <w:sz w:val="36"/>
                <w:szCs w:val="36"/>
              </w:rPr>
            </w:pPr>
          </w:p>
        </w:tc>
        <w:tc>
          <w:tcPr>
            <w:tcW w:w="858" w:type="dxa"/>
            <w:vAlign w:val="top"/>
          </w:tcPr>
          <w:p w14:paraId="561979FA">
            <w:pPr>
              <w:pStyle w:val="115"/>
              <w:spacing w:before="61" w:line="228" w:lineRule="auto"/>
              <w:ind w:left="301"/>
              <w:rPr>
                <w:sz w:val="22"/>
                <w:szCs w:val="22"/>
              </w:rPr>
            </w:pPr>
            <w:r>
              <w:rPr>
                <w:sz w:val="22"/>
                <w:szCs w:val="22"/>
              </w:rPr>
              <w:t>16时</w:t>
            </w:r>
          </w:p>
        </w:tc>
        <w:tc>
          <w:tcPr>
            <w:tcW w:w="967" w:type="dxa"/>
            <w:vAlign w:val="top"/>
          </w:tcPr>
          <w:p w14:paraId="0EDC9CA8">
            <w:pPr>
              <w:spacing w:line="234" w:lineRule="exact"/>
              <w:rPr>
                <w:rFonts w:ascii="Arial"/>
                <w:sz w:val="36"/>
                <w:szCs w:val="36"/>
              </w:rPr>
            </w:pPr>
          </w:p>
        </w:tc>
      </w:tr>
      <w:tr w14:paraId="1600F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70" w:type="dxa"/>
            <w:vMerge w:val="continue"/>
            <w:tcBorders>
              <w:top w:val="nil"/>
              <w:bottom w:val="nil"/>
            </w:tcBorders>
            <w:vAlign w:val="top"/>
          </w:tcPr>
          <w:p w14:paraId="083C8CCD">
            <w:pPr>
              <w:rPr>
                <w:rFonts w:ascii="Arial"/>
                <w:sz w:val="40"/>
                <w:szCs w:val="36"/>
              </w:rPr>
            </w:pPr>
          </w:p>
        </w:tc>
        <w:tc>
          <w:tcPr>
            <w:tcW w:w="1321" w:type="dxa"/>
            <w:vMerge w:val="continue"/>
            <w:tcBorders>
              <w:top w:val="nil"/>
              <w:bottom w:val="nil"/>
            </w:tcBorders>
            <w:vAlign w:val="top"/>
          </w:tcPr>
          <w:p w14:paraId="0CD8C571">
            <w:pPr>
              <w:rPr>
                <w:rFonts w:ascii="Arial"/>
                <w:sz w:val="40"/>
                <w:szCs w:val="36"/>
              </w:rPr>
            </w:pPr>
          </w:p>
        </w:tc>
        <w:tc>
          <w:tcPr>
            <w:tcW w:w="767" w:type="dxa"/>
            <w:vAlign w:val="top"/>
          </w:tcPr>
          <w:p w14:paraId="66F489AD">
            <w:pPr>
              <w:pStyle w:val="115"/>
              <w:spacing w:before="61" w:line="228" w:lineRule="auto"/>
              <w:ind w:left="250"/>
              <w:rPr>
                <w:sz w:val="22"/>
                <w:szCs w:val="22"/>
              </w:rPr>
            </w:pPr>
            <w:r>
              <w:rPr>
                <w:sz w:val="22"/>
                <w:szCs w:val="22"/>
              </w:rPr>
              <w:t>17时</w:t>
            </w:r>
          </w:p>
        </w:tc>
        <w:tc>
          <w:tcPr>
            <w:tcW w:w="914" w:type="dxa"/>
            <w:vAlign w:val="top"/>
          </w:tcPr>
          <w:p w14:paraId="0E824424">
            <w:pPr>
              <w:spacing w:line="234" w:lineRule="exact"/>
              <w:rPr>
                <w:rFonts w:ascii="Arial"/>
                <w:sz w:val="36"/>
                <w:szCs w:val="36"/>
              </w:rPr>
            </w:pPr>
          </w:p>
        </w:tc>
        <w:tc>
          <w:tcPr>
            <w:tcW w:w="858" w:type="dxa"/>
            <w:vAlign w:val="top"/>
          </w:tcPr>
          <w:p w14:paraId="711A7942">
            <w:pPr>
              <w:pStyle w:val="115"/>
              <w:spacing w:before="61" w:line="228" w:lineRule="auto"/>
              <w:ind w:left="297"/>
              <w:rPr>
                <w:sz w:val="22"/>
                <w:szCs w:val="22"/>
              </w:rPr>
            </w:pPr>
            <w:r>
              <w:rPr>
                <w:sz w:val="22"/>
                <w:szCs w:val="22"/>
              </w:rPr>
              <w:t>18时</w:t>
            </w:r>
          </w:p>
        </w:tc>
        <w:tc>
          <w:tcPr>
            <w:tcW w:w="952" w:type="dxa"/>
            <w:vAlign w:val="top"/>
          </w:tcPr>
          <w:p w14:paraId="27A83C71">
            <w:pPr>
              <w:spacing w:line="234" w:lineRule="exact"/>
              <w:rPr>
                <w:rFonts w:ascii="Arial"/>
                <w:sz w:val="36"/>
                <w:szCs w:val="36"/>
              </w:rPr>
            </w:pPr>
          </w:p>
        </w:tc>
        <w:tc>
          <w:tcPr>
            <w:tcW w:w="923" w:type="dxa"/>
            <w:vAlign w:val="top"/>
          </w:tcPr>
          <w:p w14:paraId="0AF0A769">
            <w:pPr>
              <w:pStyle w:val="115"/>
              <w:spacing w:before="61" w:line="228" w:lineRule="auto"/>
              <w:ind w:left="332"/>
              <w:rPr>
                <w:sz w:val="22"/>
                <w:szCs w:val="22"/>
              </w:rPr>
            </w:pPr>
            <w:r>
              <w:rPr>
                <w:spacing w:val="-1"/>
                <w:sz w:val="22"/>
                <w:szCs w:val="22"/>
              </w:rPr>
              <w:t>19时</w:t>
            </w:r>
          </w:p>
        </w:tc>
        <w:tc>
          <w:tcPr>
            <w:tcW w:w="961" w:type="dxa"/>
            <w:vAlign w:val="top"/>
          </w:tcPr>
          <w:p w14:paraId="754F4DBD">
            <w:pPr>
              <w:spacing w:line="234" w:lineRule="exact"/>
              <w:rPr>
                <w:rFonts w:ascii="Arial"/>
                <w:sz w:val="36"/>
                <w:szCs w:val="36"/>
              </w:rPr>
            </w:pPr>
          </w:p>
        </w:tc>
        <w:tc>
          <w:tcPr>
            <w:tcW w:w="858" w:type="dxa"/>
            <w:vAlign w:val="top"/>
          </w:tcPr>
          <w:p w14:paraId="7079D949">
            <w:pPr>
              <w:pStyle w:val="115"/>
              <w:spacing w:before="61" w:line="228" w:lineRule="auto"/>
              <w:ind w:left="292"/>
              <w:rPr>
                <w:sz w:val="22"/>
                <w:szCs w:val="22"/>
              </w:rPr>
            </w:pPr>
            <w:r>
              <w:rPr>
                <w:spacing w:val="3"/>
                <w:sz w:val="22"/>
                <w:szCs w:val="22"/>
              </w:rPr>
              <w:t>20时</w:t>
            </w:r>
          </w:p>
        </w:tc>
        <w:tc>
          <w:tcPr>
            <w:tcW w:w="967" w:type="dxa"/>
            <w:vAlign w:val="top"/>
          </w:tcPr>
          <w:p w14:paraId="21E9C374">
            <w:pPr>
              <w:spacing w:line="234" w:lineRule="exact"/>
              <w:rPr>
                <w:rFonts w:ascii="Arial"/>
                <w:sz w:val="36"/>
                <w:szCs w:val="36"/>
              </w:rPr>
            </w:pPr>
          </w:p>
        </w:tc>
      </w:tr>
      <w:tr w14:paraId="550B6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670" w:type="dxa"/>
            <w:vMerge w:val="continue"/>
            <w:tcBorders>
              <w:top w:val="nil"/>
            </w:tcBorders>
            <w:vAlign w:val="top"/>
          </w:tcPr>
          <w:p w14:paraId="69644B9B">
            <w:pPr>
              <w:rPr>
                <w:rFonts w:ascii="Arial"/>
                <w:sz w:val="40"/>
                <w:szCs w:val="36"/>
              </w:rPr>
            </w:pPr>
          </w:p>
        </w:tc>
        <w:tc>
          <w:tcPr>
            <w:tcW w:w="1321" w:type="dxa"/>
            <w:vMerge w:val="continue"/>
            <w:tcBorders>
              <w:top w:val="nil"/>
            </w:tcBorders>
            <w:vAlign w:val="top"/>
          </w:tcPr>
          <w:p w14:paraId="07B3BFA4">
            <w:pPr>
              <w:rPr>
                <w:rFonts w:ascii="Arial"/>
                <w:sz w:val="40"/>
                <w:szCs w:val="36"/>
              </w:rPr>
            </w:pPr>
          </w:p>
        </w:tc>
        <w:tc>
          <w:tcPr>
            <w:tcW w:w="767" w:type="dxa"/>
            <w:vAlign w:val="top"/>
          </w:tcPr>
          <w:p w14:paraId="659C25C5">
            <w:pPr>
              <w:pStyle w:val="115"/>
              <w:spacing w:before="61" w:line="227" w:lineRule="auto"/>
              <w:ind w:left="240"/>
              <w:rPr>
                <w:sz w:val="22"/>
                <w:szCs w:val="22"/>
              </w:rPr>
            </w:pPr>
            <w:r>
              <w:rPr>
                <w:spacing w:val="3"/>
                <w:sz w:val="22"/>
                <w:szCs w:val="22"/>
              </w:rPr>
              <w:t>21时</w:t>
            </w:r>
          </w:p>
        </w:tc>
        <w:tc>
          <w:tcPr>
            <w:tcW w:w="914" w:type="dxa"/>
            <w:vAlign w:val="top"/>
          </w:tcPr>
          <w:p w14:paraId="54CC99B2">
            <w:pPr>
              <w:spacing w:line="234" w:lineRule="exact"/>
              <w:rPr>
                <w:rFonts w:ascii="Arial"/>
                <w:sz w:val="36"/>
                <w:szCs w:val="36"/>
              </w:rPr>
            </w:pPr>
          </w:p>
        </w:tc>
        <w:tc>
          <w:tcPr>
            <w:tcW w:w="858" w:type="dxa"/>
            <w:vAlign w:val="top"/>
          </w:tcPr>
          <w:p w14:paraId="74B1CEFA">
            <w:pPr>
              <w:pStyle w:val="115"/>
              <w:spacing w:before="61" w:line="227" w:lineRule="auto"/>
              <w:ind w:left="287"/>
              <w:rPr>
                <w:sz w:val="22"/>
                <w:szCs w:val="22"/>
              </w:rPr>
            </w:pPr>
            <w:r>
              <w:rPr>
                <w:spacing w:val="3"/>
                <w:sz w:val="22"/>
                <w:szCs w:val="22"/>
              </w:rPr>
              <w:t>22时</w:t>
            </w:r>
          </w:p>
        </w:tc>
        <w:tc>
          <w:tcPr>
            <w:tcW w:w="952" w:type="dxa"/>
            <w:vAlign w:val="top"/>
          </w:tcPr>
          <w:p w14:paraId="624B0DF8">
            <w:pPr>
              <w:spacing w:line="234" w:lineRule="exact"/>
              <w:rPr>
                <w:rFonts w:ascii="Arial"/>
                <w:sz w:val="36"/>
                <w:szCs w:val="36"/>
              </w:rPr>
            </w:pPr>
          </w:p>
        </w:tc>
        <w:tc>
          <w:tcPr>
            <w:tcW w:w="923" w:type="dxa"/>
            <w:vAlign w:val="top"/>
          </w:tcPr>
          <w:p w14:paraId="385F411B">
            <w:pPr>
              <w:pStyle w:val="115"/>
              <w:spacing w:before="61" w:line="227" w:lineRule="auto"/>
              <w:ind w:left="323"/>
              <w:rPr>
                <w:sz w:val="22"/>
                <w:szCs w:val="22"/>
              </w:rPr>
            </w:pPr>
            <w:r>
              <w:rPr>
                <w:spacing w:val="2"/>
                <w:sz w:val="22"/>
                <w:szCs w:val="22"/>
              </w:rPr>
              <w:t>23时</w:t>
            </w:r>
          </w:p>
        </w:tc>
        <w:tc>
          <w:tcPr>
            <w:tcW w:w="961" w:type="dxa"/>
            <w:vAlign w:val="top"/>
          </w:tcPr>
          <w:p w14:paraId="0626F6CD">
            <w:pPr>
              <w:spacing w:line="234" w:lineRule="exact"/>
              <w:rPr>
                <w:rFonts w:ascii="Arial"/>
                <w:sz w:val="36"/>
                <w:szCs w:val="36"/>
              </w:rPr>
            </w:pPr>
          </w:p>
        </w:tc>
        <w:tc>
          <w:tcPr>
            <w:tcW w:w="858" w:type="dxa"/>
            <w:vAlign w:val="top"/>
          </w:tcPr>
          <w:p w14:paraId="4C194F12">
            <w:pPr>
              <w:pStyle w:val="115"/>
              <w:spacing w:before="61" w:line="227" w:lineRule="auto"/>
              <w:ind w:left="292"/>
              <w:rPr>
                <w:sz w:val="22"/>
                <w:szCs w:val="22"/>
              </w:rPr>
            </w:pPr>
            <w:r>
              <w:rPr>
                <w:spacing w:val="3"/>
                <w:sz w:val="22"/>
                <w:szCs w:val="22"/>
              </w:rPr>
              <w:t>24时</w:t>
            </w:r>
          </w:p>
        </w:tc>
        <w:tc>
          <w:tcPr>
            <w:tcW w:w="967" w:type="dxa"/>
            <w:vAlign w:val="top"/>
          </w:tcPr>
          <w:p w14:paraId="216D33C3">
            <w:pPr>
              <w:spacing w:line="234" w:lineRule="exact"/>
              <w:rPr>
                <w:rFonts w:ascii="Arial"/>
                <w:sz w:val="36"/>
                <w:szCs w:val="36"/>
              </w:rPr>
            </w:pPr>
          </w:p>
        </w:tc>
      </w:tr>
      <w:tr w14:paraId="72ED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9191" w:type="dxa"/>
            <w:gridSpan w:val="10"/>
            <w:vAlign w:val="top"/>
          </w:tcPr>
          <w:p w14:paraId="668ADA20">
            <w:pPr>
              <w:spacing w:line="172" w:lineRule="exact"/>
              <w:rPr>
                <w:rFonts w:ascii="Arial"/>
                <w:sz w:val="22"/>
                <w:szCs w:val="36"/>
              </w:rPr>
            </w:pPr>
          </w:p>
        </w:tc>
      </w:tr>
      <w:tr w14:paraId="37C8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9191" w:type="dxa"/>
            <w:gridSpan w:val="10"/>
            <w:vAlign w:val="top"/>
          </w:tcPr>
          <w:p w14:paraId="5CFC388C">
            <w:pPr>
              <w:pStyle w:val="115"/>
              <w:spacing w:before="53" w:line="197" w:lineRule="auto"/>
              <w:ind w:left="67"/>
              <w:rPr>
                <w:sz w:val="22"/>
                <w:szCs w:val="22"/>
              </w:rPr>
            </w:pPr>
            <w:r>
              <w:rPr>
                <w:rFonts w:ascii="微软雅黑" w:hAnsi="微软雅黑" w:eastAsia="微软雅黑" w:cs="微软雅黑"/>
                <w:spacing w:val="12"/>
                <w:sz w:val="22"/>
                <w:szCs w:val="22"/>
              </w:rPr>
              <w:t>口</w:t>
            </w:r>
            <w:r>
              <w:rPr>
                <w:b/>
                <w:bCs/>
                <w:spacing w:val="12"/>
                <w:sz w:val="22"/>
                <w:szCs w:val="22"/>
              </w:rPr>
              <w:t>套餐四：组合套餐</w:t>
            </w:r>
          </w:p>
        </w:tc>
      </w:tr>
      <w:tr w14:paraId="2EAF1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672" w:type="dxa"/>
            <w:gridSpan w:val="4"/>
            <w:vAlign w:val="top"/>
          </w:tcPr>
          <w:p w14:paraId="294557A0">
            <w:pPr>
              <w:pStyle w:val="115"/>
              <w:spacing w:before="184"/>
              <w:ind w:left="46"/>
              <w:rPr>
                <w:sz w:val="18"/>
                <w:szCs w:val="18"/>
              </w:rPr>
            </w:pPr>
            <w:r>
              <w:rPr>
                <w:b/>
                <w:bCs/>
                <w:spacing w:val="5"/>
                <w:sz w:val="22"/>
                <w:szCs w:val="22"/>
              </w:rPr>
              <w:t>甲方各时段电能量价格P</w:t>
            </w:r>
            <w:r>
              <w:rPr>
                <w:b/>
                <w:bCs/>
                <w:spacing w:val="5"/>
                <w:position w:val="-2"/>
                <w:sz w:val="18"/>
                <w:szCs w:val="18"/>
              </w:rPr>
              <w:t>4T</w:t>
            </w:r>
            <w:r>
              <w:rPr>
                <w:position w:val="-9"/>
                <w:sz w:val="18"/>
                <w:szCs w:val="18"/>
              </w:rPr>
              <w:drawing>
                <wp:inline distT="0" distB="0" distL="0" distR="0">
                  <wp:extent cx="574040" cy="185420"/>
                  <wp:effectExtent l="0" t="0" r="10160" b="5080"/>
                  <wp:docPr id="3" name="IM 2"/>
                  <wp:cNvGraphicFramePr/>
                  <a:graphic xmlns:a="http://schemas.openxmlformats.org/drawingml/2006/main">
                    <a:graphicData uri="http://schemas.openxmlformats.org/drawingml/2006/picture">
                      <pic:pic xmlns:pic="http://schemas.openxmlformats.org/drawingml/2006/picture">
                        <pic:nvPicPr>
                          <pic:cNvPr id="3" name="IM 2"/>
                          <pic:cNvPicPr/>
                        </pic:nvPicPr>
                        <pic:blipFill>
                          <a:blip r:embed="rId16"/>
                          <a:stretch>
                            <a:fillRect/>
                          </a:stretch>
                        </pic:blipFill>
                        <pic:spPr>
                          <a:xfrm>
                            <a:off x="0" y="0"/>
                            <a:ext cx="574331" cy="185927"/>
                          </a:xfrm>
                          <a:prstGeom prst="rect">
                            <a:avLst/>
                          </a:prstGeom>
                        </pic:spPr>
                      </pic:pic>
                    </a:graphicData>
                  </a:graphic>
                </wp:inline>
              </w:drawing>
            </w:r>
          </w:p>
        </w:tc>
        <w:tc>
          <w:tcPr>
            <w:tcW w:w="5519" w:type="dxa"/>
            <w:gridSpan w:val="6"/>
            <w:vAlign w:val="top"/>
          </w:tcPr>
          <w:p w14:paraId="222D87AF">
            <w:pPr>
              <w:pStyle w:val="115"/>
              <w:spacing w:before="38" w:line="231" w:lineRule="auto"/>
              <w:ind w:left="26"/>
              <w:rPr>
                <w:sz w:val="22"/>
                <w:szCs w:val="22"/>
              </w:rPr>
            </w:pPr>
            <w:r>
              <w:rPr>
                <w:b/>
                <w:bCs/>
                <w:spacing w:val="6"/>
                <w:sz w:val="22"/>
                <w:szCs w:val="22"/>
              </w:rPr>
              <w:t>可在套餐一、二、三中选择两种套餐进行组合，</w:t>
            </w:r>
            <w:r>
              <w:rPr>
                <w:spacing w:val="-31"/>
                <w:sz w:val="22"/>
                <w:szCs w:val="22"/>
              </w:rPr>
              <w:t xml:space="preserve"> </w:t>
            </w:r>
            <w:r>
              <w:rPr>
                <w:b/>
                <w:bCs/>
                <w:spacing w:val="6"/>
                <w:sz w:val="22"/>
                <w:szCs w:val="22"/>
              </w:rPr>
              <w:t>电能量比例系数之和为100%。</w:t>
            </w:r>
          </w:p>
          <w:p w14:paraId="28627BF2">
            <w:pPr>
              <w:pStyle w:val="115"/>
              <w:spacing w:before="153" w:line="234" w:lineRule="auto"/>
              <w:ind w:left="191"/>
              <w:rPr>
                <w:sz w:val="22"/>
                <w:szCs w:val="22"/>
              </w:rPr>
            </w:pPr>
            <w:r>
              <w:rPr>
                <w:rFonts w:ascii="微软雅黑" w:hAnsi="微软雅黑" w:eastAsia="微软雅黑" w:cs="微软雅黑"/>
                <w:spacing w:val="6"/>
                <w:position w:val="1"/>
                <w:sz w:val="22"/>
                <w:szCs w:val="22"/>
              </w:rPr>
              <w:t xml:space="preserve">口 </w:t>
            </w:r>
            <w:r>
              <w:rPr>
                <w:b/>
                <w:bCs/>
                <w:spacing w:val="6"/>
                <w:sz w:val="22"/>
                <w:szCs w:val="22"/>
              </w:rPr>
              <w:t>K</w:t>
            </w:r>
            <w:r>
              <w:rPr>
                <w:b/>
                <w:bCs/>
                <w:spacing w:val="6"/>
                <w:sz w:val="18"/>
                <w:szCs w:val="18"/>
              </w:rPr>
              <w:t>1</w:t>
            </w:r>
            <w:r>
              <w:rPr>
                <w:b/>
                <w:bCs/>
                <w:spacing w:val="6"/>
                <w:sz w:val="22"/>
                <w:szCs w:val="22"/>
              </w:rPr>
              <w:t>%=</w:t>
            </w:r>
            <w:r>
              <w:rPr>
                <w:spacing w:val="6"/>
                <w:sz w:val="22"/>
                <w:szCs w:val="22"/>
                <w:u w:val="single" w:color="auto"/>
              </w:rPr>
              <w:t xml:space="preserve">     </w:t>
            </w:r>
            <w:r>
              <w:rPr>
                <w:b/>
                <w:bCs/>
                <w:spacing w:val="6"/>
                <w:sz w:val="22"/>
                <w:szCs w:val="22"/>
                <w:u w:val="single" w:color="auto"/>
              </w:rPr>
              <w:t>%</w:t>
            </w:r>
            <w:r>
              <w:rPr>
                <w:spacing w:val="-64"/>
                <w:sz w:val="22"/>
                <w:szCs w:val="22"/>
                <w:u w:val="single" w:color="auto"/>
              </w:rPr>
              <w:t xml:space="preserve"> </w:t>
            </w:r>
            <w:r>
              <w:rPr>
                <w:spacing w:val="6"/>
                <w:sz w:val="22"/>
                <w:szCs w:val="22"/>
              </w:rPr>
              <w:t xml:space="preserve">     </w:t>
            </w:r>
            <w:r>
              <w:rPr>
                <w:rFonts w:ascii="微软雅黑" w:hAnsi="微软雅黑" w:eastAsia="微软雅黑" w:cs="微软雅黑"/>
                <w:spacing w:val="6"/>
                <w:position w:val="1"/>
                <w:sz w:val="22"/>
                <w:szCs w:val="22"/>
              </w:rPr>
              <w:t xml:space="preserve">口 </w:t>
            </w:r>
            <w:r>
              <w:rPr>
                <w:b/>
                <w:bCs/>
                <w:spacing w:val="6"/>
                <w:sz w:val="22"/>
                <w:szCs w:val="22"/>
              </w:rPr>
              <w:t>K</w:t>
            </w:r>
            <w:r>
              <w:rPr>
                <w:b/>
                <w:bCs/>
                <w:spacing w:val="6"/>
                <w:sz w:val="18"/>
                <w:szCs w:val="18"/>
              </w:rPr>
              <w:t>2</w:t>
            </w:r>
            <w:r>
              <w:rPr>
                <w:b/>
                <w:bCs/>
                <w:spacing w:val="6"/>
                <w:sz w:val="22"/>
                <w:szCs w:val="22"/>
              </w:rPr>
              <w:t>%=</w:t>
            </w:r>
            <w:r>
              <w:rPr>
                <w:spacing w:val="6"/>
                <w:sz w:val="22"/>
                <w:szCs w:val="22"/>
                <w:u w:val="single" w:color="auto"/>
              </w:rPr>
              <w:t xml:space="preserve">     </w:t>
            </w:r>
            <w:r>
              <w:rPr>
                <w:b/>
                <w:bCs/>
                <w:spacing w:val="6"/>
                <w:sz w:val="22"/>
                <w:szCs w:val="22"/>
                <w:u w:val="single" w:color="auto"/>
              </w:rPr>
              <w:t>%</w:t>
            </w:r>
            <w:r>
              <w:rPr>
                <w:spacing w:val="-64"/>
                <w:sz w:val="22"/>
                <w:szCs w:val="22"/>
                <w:u w:val="single" w:color="auto"/>
              </w:rPr>
              <w:t xml:space="preserve"> </w:t>
            </w:r>
            <w:r>
              <w:rPr>
                <w:spacing w:val="6"/>
                <w:sz w:val="22"/>
                <w:szCs w:val="22"/>
              </w:rPr>
              <w:t xml:space="preserve">      </w:t>
            </w:r>
            <w:r>
              <w:rPr>
                <w:rFonts w:ascii="微软雅黑" w:hAnsi="微软雅黑" w:eastAsia="微软雅黑" w:cs="微软雅黑"/>
                <w:spacing w:val="6"/>
                <w:position w:val="1"/>
                <w:sz w:val="22"/>
                <w:szCs w:val="22"/>
              </w:rPr>
              <w:t>口</w:t>
            </w:r>
            <w:r>
              <w:rPr>
                <w:rFonts w:ascii="微软雅黑" w:hAnsi="微软雅黑" w:eastAsia="微软雅黑" w:cs="微软雅黑"/>
                <w:spacing w:val="34"/>
                <w:w w:val="101"/>
                <w:position w:val="1"/>
                <w:sz w:val="22"/>
                <w:szCs w:val="22"/>
              </w:rPr>
              <w:t xml:space="preserve"> </w:t>
            </w:r>
            <w:r>
              <w:rPr>
                <w:b/>
                <w:bCs/>
                <w:spacing w:val="6"/>
                <w:sz w:val="22"/>
                <w:szCs w:val="22"/>
              </w:rPr>
              <w:t>K</w:t>
            </w:r>
            <w:r>
              <w:rPr>
                <w:b/>
                <w:bCs/>
                <w:spacing w:val="6"/>
                <w:sz w:val="18"/>
                <w:szCs w:val="18"/>
              </w:rPr>
              <w:t>3</w:t>
            </w:r>
            <w:r>
              <w:rPr>
                <w:b/>
                <w:bCs/>
                <w:spacing w:val="6"/>
                <w:sz w:val="22"/>
                <w:szCs w:val="22"/>
              </w:rPr>
              <w:t>%=</w:t>
            </w:r>
            <w:r>
              <w:rPr>
                <w:spacing w:val="5"/>
                <w:sz w:val="22"/>
                <w:szCs w:val="22"/>
                <w:u w:val="single" w:color="auto"/>
              </w:rPr>
              <w:t xml:space="preserve">     </w:t>
            </w:r>
            <w:r>
              <w:rPr>
                <w:b/>
                <w:bCs/>
                <w:spacing w:val="5"/>
                <w:sz w:val="22"/>
                <w:szCs w:val="22"/>
                <w:u w:val="single" w:color="auto"/>
              </w:rPr>
              <w:t>%</w:t>
            </w:r>
          </w:p>
        </w:tc>
      </w:tr>
      <w:tr w14:paraId="06E76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2758" w:type="dxa"/>
            <w:gridSpan w:val="3"/>
            <w:vAlign w:val="top"/>
          </w:tcPr>
          <w:p w14:paraId="6C23ED86">
            <w:pPr>
              <w:pStyle w:val="115"/>
              <w:spacing w:before="111" w:line="219" w:lineRule="auto"/>
              <w:ind w:left="48"/>
              <w:rPr>
                <w:sz w:val="22"/>
                <w:szCs w:val="22"/>
              </w:rPr>
            </w:pPr>
            <w:r>
              <w:rPr>
                <w:rFonts w:ascii="微软雅黑" w:hAnsi="微软雅黑" w:eastAsia="微软雅黑" w:cs="微软雅黑"/>
                <w:spacing w:val="8"/>
                <w:sz w:val="22"/>
                <w:szCs w:val="22"/>
              </w:rPr>
              <w:t xml:space="preserve">口 </w:t>
            </w:r>
            <w:r>
              <w:rPr>
                <w:b/>
                <w:bCs/>
                <w:spacing w:val="8"/>
                <w:sz w:val="22"/>
                <w:szCs w:val="22"/>
              </w:rPr>
              <w:t>套餐五：绿电套餐</w:t>
            </w:r>
          </w:p>
        </w:tc>
        <w:tc>
          <w:tcPr>
            <w:tcW w:w="6433" w:type="dxa"/>
            <w:gridSpan w:val="7"/>
            <w:vAlign w:val="top"/>
          </w:tcPr>
          <w:p w14:paraId="493DF9A1">
            <w:pPr>
              <w:pStyle w:val="115"/>
              <w:spacing w:before="32" w:line="212" w:lineRule="auto"/>
              <w:ind w:left="25" w:right="65" w:hanging="2"/>
              <w:rPr>
                <w:sz w:val="22"/>
                <w:szCs w:val="22"/>
              </w:rPr>
            </w:pPr>
            <w:r>
              <w:rPr>
                <w:b/>
                <w:bCs/>
                <w:spacing w:val="9"/>
                <w:sz w:val="22"/>
                <w:szCs w:val="22"/>
              </w:rPr>
              <w:t>仅约定绿色电力环境价值，</w:t>
            </w:r>
            <w:r>
              <w:rPr>
                <w:spacing w:val="-40"/>
                <w:sz w:val="22"/>
                <w:szCs w:val="22"/>
              </w:rPr>
              <w:t xml:space="preserve"> </w:t>
            </w:r>
            <w:r>
              <w:rPr>
                <w:b/>
                <w:bCs/>
                <w:spacing w:val="9"/>
                <w:sz w:val="22"/>
                <w:szCs w:val="22"/>
              </w:rPr>
              <w:t>甲方绿电交易合同电量按每月</w:t>
            </w:r>
            <w:r>
              <w:rPr>
                <w:b/>
                <w:bCs/>
                <w:spacing w:val="8"/>
                <w:sz w:val="22"/>
                <w:szCs w:val="22"/>
              </w:rPr>
              <w:t>乙方分配给甲方的绿电交易合同电量计算，绿电电能量各时段价格=甲方各时段电能量价格</w:t>
            </w:r>
          </w:p>
        </w:tc>
      </w:tr>
      <w:tr w14:paraId="504DD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991" w:type="dxa"/>
            <w:gridSpan w:val="2"/>
            <w:vAlign w:val="top"/>
          </w:tcPr>
          <w:p w14:paraId="09ECDCDA">
            <w:pPr>
              <w:pStyle w:val="115"/>
              <w:spacing w:before="179" w:line="235" w:lineRule="auto"/>
              <w:ind w:left="163"/>
              <w:rPr>
                <w:sz w:val="16"/>
                <w:szCs w:val="16"/>
              </w:rPr>
            </w:pPr>
            <w:r>
              <w:rPr>
                <w:b/>
                <w:bCs/>
                <w:spacing w:val="4"/>
                <w:sz w:val="22"/>
                <w:szCs w:val="22"/>
              </w:rPr>
              <w:t>甲方绿色电力环境价值P</w:t>
            </w:r>
            <w:r>
              <w:rPr>
                <w:b/>
                <w:bCs/>
                <w:spacing w:val="4"/>
                <w:position w:val="-1"/>
                <w:sz w:val="16"/>
                <w:szCs w:val="16"/>
              </w:rPr>
              <w:t>绿证</w:t>
            </w:r>
          </w:p>
        </w:tc>
        <w:tc>
          <w:tcPr>
            <w:tcW w:w="2539" w:type="dxa"/>
            <w:gridSpan w:val="3"/>
            <w:vAlign w:val="top"/>
          </w:tcPr>
          <w:p w14:paraId="28A69193">
            <w:pPr>
              <w:pStyle w:val="115"/>
              <w:spacing w:before="56" w:line="201" w:lineRule="auto"/>
              <w:ind w:left="25" w:right="40" w:firstLine="94"/>
              <w:rPr>
                <w:sz w:val="22"/>
                <w:szCs w:val="22"/>
              </w:rPr>
            </w:pPr>
            <w:r>
              <w:rPr>
                <w:rFonts w:ascii="微软雅黑" w:hAnsi="微软雅黑" w:eastAsia="微软雅黑" w:cs="微软雅黑"/>
                <w:spacing w:val="8"/>
                <w:position w:val="1"/>
                <w:sz w:val="28"/>
                <w:szCs w:val="28"/>
              </w:rPr>
              <w:t xml:space="preserve">口  </w:t>
            </w:r>
            <w:r>
              <w:rPr>
                <w:spacing w:val="8"/>
                <w:sz w:val="22"/>
                <w:szCs w:val="22"/>
              </w:rPr>
              <w:t>乙方批发侧绿色电力交易绿色电力环境价值</w:t>
            </w:r>
          </w:p>
        </w:tc>
        <w:tc>
          <w:tcPr>
            <w:tcW w:w="1875" w:type="dxa"/>
            <w:gridSpan w:val="2"/>
            <w:vAlign w:val="top"/>
          </w:tcPr>
          <w:p w14:paraId="79B8FDFD">
            <w:pPr>
              <w:pStyle w:val="115"/>
              <w:spacing w:before="153" w:line="197" w:lineRule="auto"/>
              <w:jc w:val="right"/>
              <w:rPr>
                <w:sz w:val="22"/>
                <w:szCs w:val="22"/>
              </w:rPr>
            </w:pPr>
            <w:r>
              <w:rPr>
                <w:spacing w:val="7"/>
                <w:sz w:val="22"/>
                <w:szCs w:val="22"/>
              </w:rPr>
              <w:t>或</w:t>
            </w:r>
            <w:r>
              <w:rPr>
                <w:rFonts w:ascii="微软雅黑" w:hAnsi="微软雅黑" w:eastAsia="微软雅黑" w:cs="微软雅黑"/>
                <w:spacing w:val="7"/>
                <w:sz w:val="32"/>
                <w:szCs w:val="32"/>
              </w:rPr>
              <w:t>口</w:t>
            </w:r>
            <w:r>
              <w:rPr>
                <w:rFonts w:ascii="微软雅黑" w:hAnsi="微软雅黑" w:eastAsia="微软雅黑" w:cs="微软雅黑"/>
                <w:spacing w:val="34"/>
                <w:sz w:val="32"/>
                <w:szCs w:val="32"/>
              </w:rPr>
              <w:t xml:space="preserve"> </w:t>
            </w:r>
            <w:r>
              <w:rPr>
                <w:rFonts w:ascii="微软雅黑" w:hAnsi="微软雅黑" w:eastAsia="微软雅黑" w:cs="微软雅黑"/>
                <w:sz w:val="32"/>
                <w:szCs w:val="32"/>
                <w:u w:val="single" w:color="auto"/>
              </w:rPr>
              <w:t xml:space="preserve">              </w:t>
            </w:r>
            <w:r>
              <w:rPr>
                <w:rFonts w:ascii="微软雅黑" w:hAnsi="微软雅黑" w:eastAsia="微软雅黑" w:cs="微软雅黑"/>
                <w:spacing w:val="-49"/>
                <w:sz w:val="32"/>
                <w:szCs w:val="32"/>
              </w:rPr>
              <w:t xml:space="preserve"> </w:t>
            </w:r>
            <w:r>
              <w:rPr>
                <w:spacing w:val="7"/>
                <w:sz w:val="22"/>
                <w:szCs w:val="22"/>
              </w:rPr>
              <w:t>元/兆瓦时</w:t>
            </w:r>
          </w:p>
        </w:tc>
        <w:tc>
          <w:tcPr>
            <w:tcW w:w="2786" w:type="dxa"/>
            <w:gridSpan w:val="3"/>
            <w:vAlign w:val="top"/>
          </w:tcPr>
          <w:p w14:paraId="542F38B1">
            <w:pPr>
              <w:pStyle w:val="115"/>
              <w:spacing w:before="87" w:line="242" w:lineRule="auto"/>
              <w:ind w:left="45" w:right="51" w:hanging="17"/>
              <w:rPr>
                <w:sz w:val="22"/>
                <w:szCs w:val="22"/>
              </w:rPr>
            </w:pPr>
            <w:r>
              <w:rPr>
                <w:spacing w:val="9"/>
                <w:sz w:val="22"/>
                <w:szCs w:val="22"/>
              </w:rPr>
              <w:t>绿色电力环境价值偏差补偿费用双方约定</w:t>
            </w:r>
            <w:r>
              <w:rPr>
                <w:spacing w:val="3"/>
                <w:sz w:val="22"/>
                <w:szCs w:val="22"/>
              </w:rPr>
              <w:t>甲方结算比例</w:t>
            </w:r>
            <w:r>
              <w:rPr>
                <w:b/>
                <w:bCs/>
                <w:spacing w:val="3"/>
                <w:sz w:val="22"/>
                <w:szCs w:val="22"/>
              </w:rPr>
              <w:t>K</w:t>
            </w:r>
            <w:r>
              <w:rPr>
                <w:b/>
                <w:bCs/>
                <w:spacing w:val="3"/>
                <w:sz w:val="18"/>
                <w:szCs w:val="18"/>
              </w:rPr>
              <w:t>绿补</w:t>
            </w:r>
            <w:r>
              <w:rPr>
                <w:spacing w:val="3"/>
                <w:sz w:val="22"/>
                <w:szCs w:val="22"/>
              </w:rPr>
              <w:t>%=</w:t>
            </w:r>
            <w:r>
              <w:rPr>
                <w:spacing w:val="3"/>
                <w:sz w:val="22"/>
                <w:szCs w:val="22"/>
                <w:u w:val="single" w:color="auto"/>
              </w:rPr>
              <w:t xml:space="preserve">        </w:t>
            </w:r>
            <w:r>
              <w:rPr>
                <w:spacing w:val="3"/>
                <w:sz w:val="22"/>
                <w:szCs w:val="22"/>
              </w:rPr>
              <w:t>%</w:t>
            </w:r>
          </w:p>
        </w:tc>
      </w:tr>
      <w:tr w14:paraId="16374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1991" w:type="dxa"/>
            <w:gridSpan w:val="2"/>
            <w:vAlign w:val="top"/>
          </w:tcPr>
          <w:p w14:paraId="3AAF0D03">
            <w:pPr>
              <w:pStyle w:val="115"/>
              <w:spacing w:before="176" w:line="197" w:lineRule="auto"/>
              <w:ind w:left="48"/>
              <w:rPr>
                <w:sz w:val="22"/>
                <w:szCs w:val="22"/>
              </w:rPr>
            </w:pPr>
            <w:r>
              <w:rPr>
                <w:rFonts w:ascii="微软雅黑" w:hAnsi="微软雅黑" w:eastAsia="微软雅黑" w:cs="微软雅黑"/>
                <w:spacing w:val="7"/>
                <w:position w:val="2"/>
                <w:sz w:val="32"/>
                <w:szCs w:val="32"/>
              </w:rPr>
              <w:t>口</w:t>
            </w:r>
            <w:r>
              <w:rPr>
                <w:rFonts w:ascii="微软雅黑" w:hAnsi="微软雅黑" w:eastAsia="微软雅黑" w:cs="微软雅黑"/>
                <w:spacing w:val="43"/>
                <w:w w:val="101"/>
                <w:position w:val="2"/>
                <w:sz w:val="32"/>
                <w:szCs w:val="32"/>
              </w:rPr>
              <w:t xml:space="preserve"> </w:t>
            </w:r>
            <w:r>
              <w:rPr>
                <w:b/>
                <w:bCs/>
                <w:spacing w:val="7"/>
                <w:sz w:val="22"/>
                <w:szCs w:val="22"/>
              </w:rPr>
              <w:t>解约条款</w:t>
            </w:r>
            <w:r>
              <w:rPr>
                <w:spacing w:val="7"/>
                <w:sz w:val="22"/>
                <w:szCs w:val="22"/>
              </w:rPr>
              <w:t>（自愿勾选）</w:t>
            </w:r>
          </w:p>
        </w:tc>
        <w:tc>
          <w:tcPr>
            <w:tcW w:w="7200" w:type="dxa"/>
            <w:gridSpan w:val="8"/>
            <w:vAlign w:val="top"/>
          </w:tcPr>
          <w:p w14:paraId="7981485F">
            <w:pPr>
              <w:pStyle w:val="115"/>
              <w:spacing w:before="50" w:line="239" w:lineRule="auto"/>
              <w:ind w:left="26" w:right="99" w:firstLine="15"/>
              <w:rPr>
                <w:sz w:val="22"/>
                <w:szCs w:val="22"/>
              </w:rPr>
            </w:pPr>
            <w:r>
              <w:rPr>
                <w:b/>
                <w:bCs/>
                <w:spacing w:val="7"/>
                <w:sz w:val="22"/>
                <w:szCs w:val="22"/>
              </w:rPr>
              <w:t>甲乙双方约定：</w:t>
            </w:r>
            <w:r>
              <w:rPr>
                <w:spacing w:val="-41"/>
                <w:sz w:val="22"/>
                <w:szCs w:val="22"/>
              </w:rPr>
              <w:t xml:space="preserve"> </w:t>
            </w:r>
            <w:r>
              <w:rPr>
                <w:b/>
                <w:bCs/>
                <w:spacing w:val="7"/>
                <w:sz w:val="22"/>
                <w:szCs w:val="22"/>
              </w:rPr>
              <w:t>以当月全体售电公司批发侧结算均价的K</w:t>
            </w:r>
            <w:r>
              <w:rPr>
                <w:b/>
                <w:bCs/>
                <w:spacing w:val="7"/>
                <w:sz w:val="18"/>
                <w:szCs w:val="18"/>
              </w:rPr>
              <w:t>解约</w:t>
            </w:r>
            <w:r>
              <w:rPr>
                <w:b/>
                <w:bCs/>
                <w:spacing w:val="7"/>
                <w:sz w:val="22"/>
                <w:szCs w:val="22"/>
              </w:rPr>
              <w:t>%为解约触发费用值，当甲方按本</w:t>
            </w:r>
            <w:r>
              <w:rPr>
                <w:b/>
                <w:bCs/>
                <w:spacing w:val="6"/>
                <w:sz w:val="22"/>
                <w:szCs w:val="22"/>
              </w:rPr>
              <w:t>合同计算的月度</w:t>
            </w:r>
            <w:r>
              <w:rPr>
                <w:b/>
                <w:bCs/>
                <w:spacing w:val="7"/>
                <w:sz w:val="22"/>
                <w:szCs w:val="22"/>
              </w:rPr>
              <w:t>结算均价超过该值累计达3次时，</w:t>
            </w:r>
            <w:r>
              <w:rPr>
                <w:spacing w:val="-40"/>
                <w:sz w:val="22"/>
                <w:szCs w:val="22"/>
              </w:rPr>
              <w:t xml:space="preserve"> </w:t>
            </w:r>
            <w:r>
              <w:rPr>
                <w:b/>
                <w:bCs/>
                <w:spacing w:val="7"/>
                <w:sz w:val="22"/>
                <w:szCs w:val="22"/>
              </w:rPr>
              <w:t>甲方可选择单方面解</w:t>
            </w:r>
            <w:r>
              <w:rPr>
                <w:b/>
                <w:bCs/>
                <w:spacing w:val="6"/>
                <w:sz w:val="22"/>
                <w:szCs w:val="22"/>
              </w:rPr>
              <w:t>除次月及后续月份的零售代理合同，甲方无违约责任。</w:t>
            </w:r>
          </w:p>
          <w:p w14:paraId="43F006DC">
            <w:pPr>
              <w:pStyle w:val="115"/>
              <w:spacing w:line="162" w:lineRule="auto"/>
              <w:ind w:left="21"/>
              <w:rPr>
                <w:sz w:val="22"/>
                <w:szCs w:val="22"/>
              </w:rPr>
            </w:pPr>
            <w:r>
              <w:rPr>
                <w:b/>
                <w:bCs/>
                <w:spacing w:val="2"/>
                <w:sz w:val="22"/>
                <w:szCs w:val="22"/>
              </w:rPr>
              <w:t>K</w:t>
            </w:r>
            <w:r>
              <w:rPr>
                <w:b/>
                <w:bCs/>
                <w:spacing w:val="2"/>
                <w:sz w:val="18"/>
                <w:szCs w:val="18"/>
              </w:rPr>
              <w:t>解约</w:t>
            </w:r>
            <w:r>
              <w:rPr>
                <w:b/>
                <w:bCs/>
                <w:spacing w:val="2"/>
                <w:sz w:val="22"/>
                <w:szCs w:val="22"/>
              </w:rPr>
              <w:t>%=</w:t>
            </w:r>
            <w:r>
              <w:rPr>
                <w:spacing w:val="6"/>
                <w:sz w:val="22"/>
                <w:szCs w:val="22"/>
              </w:rPr>
              <w:t xml:space="preserve">       </w:t>
            </w:r>
            <w:r>
              <w:rPr>
                <w:b/>
                <w:bCs/>
                <w:spacing w:val="2"/>
                <w:sz w:val="22"/>
                <w:szCs w:val="22"/>
              </w:rPr>
              <w:t>%</w:t>
            </w:r>
          </w:p>
        </w:tc>
      </w:tr>
      <w:tr w14:paraId="43B7A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9" w:hRule="atLeast"/>
        </w:trPr>
        <w:tc>
          <w:tcPr>
            <w:tcW w:w="9191" w:type="dxa"/>
            <w:gridSpan w:val="10"/>
            <w:vAlign w:val="top"/>
          </w:tcPr>
          <w:p w14:paraId="566F367E">
            <w:pPr>
              <w:pStyle w:val="115"/>
              <w:spacing w:before="69" w:line="235" w:lineRule="auto"/>
              <w:ind w:left="27"/>
              <w:rPr>
                <w:sz w:val="22"/>
                <w:szCs w:val="22"/>
              </w:rPr>
            </w:pPr>
            <w:r>
              <w:rPr>
                <w:spacing w:val="1"/>
                <w:sz w:val="22"/>
                <w:szCs w:val="22"/>
              </w:rPr>
              <w:t>注：</w:t>
            </w:r>
          </w:p>
          <w:p w14:paraId="7E0390A2">
            <w:pPr>
              <w:pStyle w:val="115"/>
              <w:spacing w:before="3" w:line="236" w:lineRule="auto"/>
              <w:ind w:left="26" w:right="126" w:firstLine="11"/>
              <w:rPr>
                <w:sz w:val="22"/>
                <w:szCs w:val="22"/>
              </w:rPr>
            </w:pPr>
            <w:r>
              <w:rPr>
                <w:spacing w:val="8"/>
                <w:sz w:val="22"/>
                <w:szCs w:val="22"/>
              </w:rPr>
              <w:t>1.甲方各时段电能量按照约定的零售套餐价格</w:t>
            </w:r>
            <w:r>
              <w:rPr>
                <w:spacing w:val="7"/>
                <w:sz w:val="22"/>
                <w:szCs w:val="22"/>
              </w:rPr>
              <w:t>结算。常规电量单位为兆瓦时（保留三位小数</w:t>
            </w:r>
            <w:r>
              <w:rPr>
                <w:spacing w:val="12"/>
                <w:sz w:val="22"/>
                <w:szCs w:val="22"/>
              </w:rPr>
              <w:t>），</w:t>
            </w:r>
            <w:r>
              <w:rPr>
                <w:spacing w:val="7"/>
                <w:sz w:val="22"/>
                <w:szCs w:val="22"/>
              </w:rPr>
              <w:t>绿电电量单位为兆瓦时（整数</w:t>
            </w:r>
            <w:r>
              <w:rPr>
                <w:spacing w:val="12"/>
                <w:sz w:val="22"/>
                <w:szCs w:val="22"/>
              </w:rPr>
              <w:t>）；</w:t>
            </w:r>
            <w:r>
              <w:rPr>
                <w:spacing w:val="7"/>
                <w:sz w:val="22"/>
                <w:szCs w:val="22"/>
              </w:rPr>
              <w:t>电价（含</w:t>
            </w:r>
            <w:r>
              <w:rPr>
                <w:spacing w:val="6"/>
                <w:sz w:val="22"/>
                <w:szCs w:val="22"/>
              </w:rPr>
              <w:t>税）单位为元/兆瓦时（保留三位小数</w:t>
            </w:r>
            <w:r>
              <w:rPr>
                <w:spacing w:val="20"/>
                <w:sz w:val="22"/>
                <w:szCs w:val="22"/>
              </w:rPr>
              <w:t>）；</w:t>
            </w:r>
            <w:r>
              <w:rPr>
                <w:spacing w:val="6"/>
                <w:sz w:val="22"/>
                <w:szCs w:val="22"/>
              </w:rPr>
              <w:t>比例为%。</w:t>
            </w:r>
          </w:p>
          <w:p w14:paraId="73371F3D">
            <w:pPr>
              <w:pStyle w:val="115"/>
              <w:spacing w:before="21" w:line="260" w:lineRule="auto"/>
              <w:ind w:left="27" w:right="140" w:firstLine="1"/>
              <w:rPr>
                <w:sz w:val="22"/>
                <w:szCs w:val="22"/>
              </w:rPr>
            </w:pPr>
            <w:r>
              <w:rPr>
                <w:spacing w:val="8"/>
                <w:sz w:val="22"/>
                <w:szCs w:val="22"/>
              </w:rPr>
              <w:t>2.套餐一电能量占比K</w:t>
            </w:r>
            <w:r>
              <w:rPr>
                <w:spacing w:val="8"/>
                <w:position w:val="-2"/>
                <w:sz w:val="18"/>
                <w:szCs w:val="18"/>
              </w:rPr>
              <w:t>1</w:t>
            </w:r>
            <w:r>
              <w:rPr>
                <w:spacing w:val="8"/>
                <w:sz w:val="22"/>
                <w:szCs w:val="22"/>
              </w:rPr>
              <w:t>%不高于50%（以《安徽电力中长</w:t>
            </w:r>
            <w:r>
              <w:rPr>
                <w:spacing w:val="7"/>
                <w:sz w:val="22"/>
                <w:szCs w:val="22"/>
              </w:rPr>
              <w:t>期交易实施方案（2026年版）》公布数值为准</w:t>
            </w:r>
            <w:r>
              <w:rPr>
                <w:spacing w:val="6"/>
                <w:sz w:val="22"/>
                <w:szCs w:val="22"/>
              </w:rPr>
              <w:t>），</w:t>
            </w:r>
            <w:r>
              <w:rPr>
                <w:spacing w:val="7"/>
                <w:sz w:val="22"/>
                <w:szCs w:val="22"/>
              </w:rPr>
              <w:t>不能单独选择，需与套餐二或套餐三形成组合套餐；套餐二或套餐三可以单独选择（单独选择</w:t>
            </w:r>
            <w:r>
              <w:rPr>
                <w:spacing w:val="6"/>
                <w:sz w:val="22"/>
                <w:szCs w:val="22"/>
              </w:rPr>
              <w:t>时K</w:t>
            </w:r>
            <w:r>
              <w:rPr>
                <w:spacing w:val="6"/>
                <w:position w:val="-2"/>
                <w:sz w:val="18"/>
                <w:szCs w:val="18"/>
              </w:rPr>
              <w:t>2</w:t>
            </w:r>
            <w:r>
              <w:rPr>
                <w:spacing w:val="6"/>
                <w:sz w:val="22"/>
                <w:szCs w:val="22"/>
              </w:rPr>
              <w:t>或K</w:t>
            </w:r>
            <w:r>
              <w:rPr>
                <w:spacing w:val="6"/>
                <w:position w:val="-2"/>
                <w:sz w:val="18"/>
                <w:szCs w:val="18"/>
              </w:rPr>
              <w:t>3</w:t>
            </w:r>
            <w:r>
              <w:rPr>
                <w:spacing w:val="6"/>
                <w:sz w:val="22"/>
                <w:szCs w:val="22"/>
              </w:rPr>
              <w:t>为100）。</w:t>
            </w:r>
          </w:p>
          <w:p w14:paraId="245A632A">
            <w:pPr>
              <w:pStyle w:val="115"/>
              <w:spacing w:before="27" w:line="242" w:lineRule="auto"/>
              <w:ind w:left="27" w:right="18" w:firstLine="2"/>
              <w:rPr>
                <w:sz w:val="22"/>
                <w:szCs w:val="22"/>
              </w:rPr>
            </w:pPr>
            <w:r>
              <w:rPr>
                <w:spacing w:val="7"/>
                <w:sz w:val="22"/>
                <w:szCs w:val="22"/>
              </w:rPr>
              <w:t>3.K</w:t>
            </w:r>
            <w:r>
              <w:rPr>
                <w:spacing w:val="7"/>
                <w:sz w:val="20"/>
                <w:szCs w:val="20"/>
              </w:rPr>
              <w:t>1</w:t>
            </w:r>
            <w:r>
              <w:rPr>
                <w:spacing w:val="7"/>
                <w:sz w:val="22"/>
                <w:szCs w:val="22"/>
              </w:rPr>
              <w:t>、K</w:t>
            </w:r>
            <w:r>
              <w:rPr>
                <w:spacing w:val="7"/>
                <w:sz w:val="20"/>
                <w:szCs w:val="20"/>
              </w:rPr>
              <w:t>2</w:t>
            </w:r>
            <w:r>
              <w:rPr>
                <w:spacing w:val="7"/>
                <w:sz w:val="22"/>
                <w:szCs w:val="22"/>
              </w:rPr>
              <w:t>、K</w:t>
            </w:r>
            <w:r>
              <w:rPr>
                <w:spacing w:val="7"/>
                <w:sz w:val="20"/>
                <w:szCs w:val="20"/>
              </w:rPr>
              <w:t>3</w:t>
            </w:r>
            <w:r>
              <w:rPr>
                <w:spacing w:val="7"/>
                <w:sz w:val="22"/>
                <w:szCs w:val="22"/>
              </w:rPr>
              <w:t>均为整数，0≤K</w:t>
            </w:r>
            <w:r>
              <w:rPr>
                <w:spacing w:val="7"/>
                <w:sz w:val="20"/>
                <w:szCs w:val="20"/>
              </w:rPr>
              <w:t>1</w:t>
            </w:r>
            <w:r>
              <w:rPr>
                <w:spacing w:val="7"/>
                <w:sz w:val="22"/>
                <w:szCs w:val="22"/>
              </w:rPr>
              <w:t>≤50；0≤K</w:t>
            </w:r>
            <w:r>
              <w:rPr>
                <w:spacing w:val="7"/>
                <w:sz w:val="20"/>
                <w:szCs w:val="20"/>
              </w:rPr>
              <w:t>2</w:t>
            </w:r>
            <w:r>
              <w:rPr>
                <w:spacing w:val="7"/>
                <w:sz w:val="22"/>
                <w:szCs w:val="22"/>
              </w:rPr>
              <w:t>≤100；0≤K</w:t>
            </w:r>
            <w:r>
              <w:rPr>
                <w:spacing w:val="7"/>
                <w:sz w:val="20"/>
                <w:szCs w:val="20"/>
              </w:rPr>
              <w:t>3</w:t>
            </w:r>
            <w:r>
              <w:rPr>
                <w:spacing w:val="7"/>
                <w:sz w:val="22"/>
                <w:szCs w:val="22"/>
              </w:rPr>
              <w:t>≤100。组合套餐中，若选择套餐一，则K</w:t>
            </w:r>
            <w:r>
              <w:rPr>
                <w:spacing w:val="7"/>
                <w:position w:val="-2"/>
                <w:sz w:val="18"/>
                <w:szCs w:val="18"/>
              </w:rPr>
              <w:t>1</w:t>
            </w:r>
            <w:r>
              <w:rPr>
                <w:spacing w:val="7"/>
                <w:sz w:val="22"/>
                <w:szCs w:val="22"/>
              </w:rPr>
              <w:t>低于20需用户</w:t>
            </w:r>
            <w:r>
              <w:rPr>
                <w:spacing w:val="6"/>
                <w:sz w:val="22"/>
                <w:szCs w:val="22"/>
              </w:rPr>
              <w:t>法定代表人或授权代理人再次</w:t>
            </w:r>
            <w:r>
              <w:rPr>
                <w:spacing w:val="4"/>
                <w:sz w:val="22"/>
                <w:szCs w:val="22"/>
              </w:rPr>
              <w:t>确认。</w:t>
            </w:r>
          </w:p>
          <w:p w14:paraId="14A98C53">
            <w:pPr>
              <w:pStyle w:val="115"/>
              <w:spacing w:before="7" w:line="235" w:lineRule="auto"/>
              <w:ind w:left="44" w:right="136" w:hanging="18"/>
              <w:rPr>
                <w:sz w:val="22"/>
                <w:szCs w:val="22"/>
              </w:rPr>
            </w:pPr>
            <w:r>
              <w:rPr>
                <w:spacing w:val="8"/>
                <w:sz w:val="22"/>
                <w:szCs w:val="22"/>
              </w:rPr>
              <w:t>4.套餐二P</w:t>
            </w:r>
            <w:r>
              <w:rPr>
                <w:spacing w:val="8"/>
                <w:sz w:val="18"/>
                <w:szCs w:val="18"/>
              </w:rPr>
              <w:t>浮动</w:t>
            </w:r>
            <w:r>
              <w:rPr>
                <w:spacing w:val="8"/>
                <w:sz w:val="20"/>
                <w:szCs w:val="20"/>
              </w:rPr>
              <w:t>T</w:t>
            </w:r>
            <w:r>
              <w:rPr>
                <w:spacing w:val="8"/>
                <w:sz w:val="22"/>
                <w:szCs w:val="22"/>
              </w:rPr>
              <w:t>各时段数值一致，上浮超过上一年全体售电公司批发侧结算均价的</w:t>
            </w:r>
            <w:r>
              <w:rPr>
                <w:spacing w:val="-33"/>
                <w:sz w:val="22"/>
                <w:szCs w:val="22"/>
              </w:rPr>
              <w:t xml:space="preserve"> </w:t>
            </w:r>
            <w:r>
              <w:rPr>
                <w:spacing w:val="8"/>
                <w:sz w:val="22"/>
                <w:szCs w:val="22"/>
              </w:rPr>
              <w:t>3%时需用户法定代表人或授权代理人再次确认</w:t>
            </w:r>
            <w:r>
              <w:rPr>
                <w:spacing w:val="-18"/>
                <w:sz w:val="22"/>
                <w:szCs w:val="22"/>
              </w:rPr>
              <w:t xml:space="preserve"> </w:t>
            </w:r>
            <w:r>
              <w:rPr>
                <w:spacing w:val="8"/>
                <w:sz w:val="22"/>
                <w:szCs w:val="22"/>
              </w:rPr>
              <w:t>；在2025年</w:t>
            </w:r>
            <w:r>
              <w:rPr>
                <w:spacing w:val="7"/>
                <w:sz w:val="22"/>
                <w:szCs w:val="22"/>
              </w:rPr>
              <w:t>内签订2026年零售合同的，上一年全体售电公司批发侧结算均价数值计算范围为</w:t>
            </w:r>
            <w:r>
              <w:rPr>
                <w:spacing w:val="-37"/>
                <w:sz w:val="22"/>
                <w:szCs w:val="22"/>
              </w:rPr>
              <w:t xml:space="preserve"> </w:t>
            </w:r>
            <w:r>
              <w:rPr>
                <w:spacing w:val="7"/>
                <w:sz w:val="22"/>
                <w:szCs w:val="22"/>
              </w:rPr>
              <w:t>2025年1月至10月（为</w:t>
            </w:r>
            <w:r>
              <w:rPr>
                <w:spacing w:val="6"/>
                <w:sz w:val="22"/>
                <w:szCs w:val="22"/>
              </w:rPr>
              <w:t xml:space="preserve"> 397.331元/兆瓦时）。</w:t>
            </w:r>
          </w:p>
          <w:p w14:paraId="1A91C2DB">
            <w:pPr>
              <w:pStyle w:val="115"/>
              <w:spacing w:before="5" w:line="231" w:lineRule="auto"/>
              <w:ind w:left="30"/>
              <w:rPr>
                <w:sz w:val="22"/>
                <w:szCs w:val="22"/>
              </w:rPr>
            </w:pPr>
            <w:r>
              <w:rPr>
                <w:spacing w:val="8"/>
                <w:sz w:val="22"/>
                <w:szCs w:val="22"/>
              </w:rPr>
              <w:t>5.套餐三K</w:t>
            </w:r>
            <w:r>
              <w:rPr>
                <w:spacing w:val="8"/>
                <w:sz w:val="18"/>
                <w:szCs w:val="18"/>
              </w:rPr>
              <w:t>浮动</w:t>
            </w:r>
            <w:r>
              <w:rPr>
                <w:spacing w:val="8"/>
                <w:sz w:val="22"/>
                <w:szCs w:val="22"/>
              </w:rPr>
              <w:t>保留一位小数，超过105</w:t>
            </w:r>
            <w:r>
              <w:rPr>
                <w:spacing w:val="7"/>
                <w:sz w:val="22"/>
                <w:szCs w:val="22"/>
              </w:rPr>
              <w:t>需用户法定代表人或授权代理人再次确认。</w:t>
            </w:r>
          </w:p>
          <w:p w14:paraId="1D9BF86B">
            <w:pPr>
              <w:pStyle w:val="115"/>
              <w:spacing w:before="8" w:line="230" w:lineRule="auto"/>
              <w:ind w:left="28"/>
              <w:rPr>
                <w:sz w:val="22"/>
                <w:szCs w:val="22"/>
              </w:rPr>
            </w:pPr>
            <w:r>
              <w:rPr>
                <w:spacing w:val="6"/>
                <w:sz w:val="22"/>
                <w:szCs w:val="22"/>
              </w:rPr>
              <w:t>6.套餐三K</w:t>
            </w:r>
            <w:r>
              <w:rPr>
                <w:spacing w:val="6"/>
                <w:sz w:val="18"/>
                <w:szCs w:val="18"/>
              </w:rPr>
              <w:t>分成</w:t>
            </w:r>
            <w:r>
              <w:rPr>
                <w:spacing w:val="6"/>
                <w:sz w:val="22"/>
                <w:szCs w:val="22"/>
              </w:rPr>
              <w:t>为整数，50≤K</w:t>
            </w:r>
            <w:r>
              <w:rPr>
                <w:spacing w:val="6"/>
                <w:sz w:val="18"/>
                <w:szCs w:val="18"/>
              </w:rPr>
              <w:t>分成</w:t>
            </w:r>
            <w:r>
              <w:rPr>
                <w:spacing w:val="6"/>
                <w:sz w:val="22"/>
                <w:szCs w:val="22"/>
              </w:rPr>
              <w:t>≤100（以《安徽电力中长期交易实施方案（2026年版）》公布数值为准）。</w:t>
            </w:r>
          </w:p>
          <w:p w14:paraId="75DC9812">
            <w:pPr>
              <w:pStyle w:val="115"/>
              <w:spacing w:before="8" w:line="231" w:lineRule="auto"/>
              <w:ind w:left="30"/>
              <w:rPr>
                <w:sz w:val="22"/>
                <w:szCs w:val="22"/>
              </w:rPr>
            </w:pPr>
            <w:r>
              <w:rPr>
                <w:spacing w:val="4"/>
                <w:sz w:val="22"/>
                <w:szCs w:val="22"/>
              </w:rPr>
              <w:t>7.套餐五K</w:t>
            </w:r>
            <w:r>
              <w:rPr>
                <w:spacing w:val="4"/>
                <w:sz w:val="18"/>
                <w:szCs w:val="18"/>
              </w:rPr>
              <w:t>绿补</w:t>
            </w:r>
            <w:r>
              <w:rPr>
                <w:spacing w:val="4"/>
                <w:sz w:val="22"/>
                <w:szCs w:val="22"/>
              </w:rPr>
              <w:t>为整数，0≤K</w:t>
            </w:r>
            <w:r>
              <w:rPr>
                <w:spacing w:val="4"/>
                <w:sz w:val="18"/>
                <w:szCs w:val="18"/>
              </w:rPr>
              <w:t>绿补</w:t>
            </w:r>
            <w:r>
              <w:rPr>
                <w:spacing w:val="4"/>
                <w:sz w:val="22"/>
                <w:szCs w:val="22"/>
              </w:rPr>
              <w:t>≤100。</w:t>
            </w:r>
          </w:p>
          <w:p w14:paraId="2A00530B">
            <w:pPr>
              <w:pStyle w:val="115"/>
              <w:spacing w:before="4" w:line="231" w:lineRule="auto"/>
              <w:ind w:left="27"/>
              <w:rPr>
                <w:sz w:val="22"/>
                <w:szCs w:val="22"/>
              </w:rPr>
            </w:pPr>
            <w:r>
              <w:rPr>
                <w:spacing w:val="8"/>
                <w:sz w:val="22"/>
                <w:szCs w:val="22"/>
              </w:rPr>
              <w:t>8.解约条款未勾选或K</w:t>
            </w:r>
            <w:r>
              <w:rPr>
                <w:spacing w:val="8"/>
                <w:sz w:val="18"/>
                <w:szCs w:val="18"/>
              </w:rPr>
              <w:t>解约</w:t>
            </w:r>
            <w:r>
              <w:rPr>
                <w:spacing w:val="8"/>
                <w:sz w:val="22"/>
                <w:szCs w:val="22"/>
              </w:rPr>
              <w:t>（保留一位小数）超过105的，需用户法定</w:t>
            </w:r>
            <w:r>
              <w:rPr>
                <w:spacing w:val="7"/>
                <w:sz w:val="22"/>
                <w:szCs w:val="22"/>
              </w:rPr>
              <w:t>代表人或授权代理人再次确认。</w:t>
            </w:r>
          </w:p>
          <w:p w14:paraId="153F9B6D">
            <w:pPr>
              <w:pStyle w:val="115"/>
              <w:spacing w:before="7" w:line="230" w:lineRule="auto"/>
              <w:ind w:left="27"/>
              <w:rPr>
                <w:sz w:val="22"/>
                <w:szCs w:val="22"/>
              </w:rPr>
            </w:pPr>
            <w:r>
              <w:rPr>
                <w:spacing w:val="7"/>
                <w:sz w:val="22"/>
                <w:szCs w:val="22"/>
              </w:rPr>
              <w:t>9.P</w:t>
            </w:r>
            <w:r>
              <w:rPr>
                <w:spacing w:val="7"/>
                <w:sz w:val="18"/>
                <w:szCs w:val="18"/>
              </w:rPr>
              <w:t>售均T</w:t>
            </w:r>
            <w:r>
              <w:rPr>
                <w:spacing w:val="7"/>
                <w:sz w:val="22"/>
                <w:szCs w:val="22"/>
              </w:rPr>
              <w:t>为全体售电公司批发侧T时段电能量结算均价。本参数表中的P</w:t>
            </w:r>
            <w:r>
              <w:rPr>
                <w:spacing w:val="7"/>
                <w:sz w:val="18"/>
                <w:szCs w:val="18"/>
              </w:rPr>
              <w:t>售均T</w:t>
            </w:r>
            <w:r>
              <w:rPr>
                <w:spacing w:val="7"/>
                <w:sz w:val="22"/>
                <w:szCs w:val="22"/>
              </w:rPr>
              <w:t>、解约条款中的价格按照相关市场规则计算。</w:t>
            </w:r>
          </w:p>
          <w:p w14:paraId="1ADA8240">
            <w:pPr>
              <w:pStyle w:val="115"/>
              <w:spacing w:before="5" w:line="238" w:lineRule="auto"/>
              <w:ind w:left="27" w:right="78" w:firstLine="10"/>
              <w:rPr>
                <w:sz w:val="22"/>
                <w:szCs w:val="22"/>
              </w:rPr>
            </w:pPr>
            <w:r>
              <w:rPr>
                <w:spacing w:val="9"/>
                <w:sz w:val="22"/>
                <w:szCs w:val="22"/>
              </w:rPr>
              <w:t>10.当用户按本合同计算的月度结算均价高于当月全体售电公司批发侧结算均价103%或者绿色电力环境价值高于本年度全体售电公司已执行</w:t>
            </w:r>
            <w:r>
              <w:rPr>
                <w:spacing w:val="8"/>
                <w:sz w:val="22"/>
                <w:szCs w:val="22"/>
              </w:rPr>
              <w:t>月份批发侧绿色电力环境价值均价110%时，省电力交易中心可对该用户进行市场风险提示。零售套餐价格参数提示阈值、零售套餐</w:t>
            </w:r>
            <w:r>
              <w:rPr>
                <w:spacing w:val="7"/>
                <w:sz w:val="22"/>
                <w:szCs w:val="22"/>
              </w:rPr>
              <w:t>结算价格</w:t>
            </w:r>
            <w:r>
              <w:rPr>
                <w:spacing w:val="9"/>
                <w:sz w:val="22"/>
                <w:szCs w:val="22"/>
              </w:rPr>
              <w:t>提示阈值可根据市场运行情况适时调整。</w:t>
            </w:r>
          </w:p>
          <w:p w14:paraId="1E19EAF1">
            <w:pPr>
              <w:pStyle w:val="115"/>
              <w:spacing w:before="4" w:line="201" w:lineRule="auto"/>
              <w:ind w:left="38"/>
              <w:rPr>
                <w:sz w:val="22"/>
                <w:szCs w:val="22"/>
              </w:rPr>
            </w:pPr>
            <w:r>
              <w:rPr>
                <w:spacing w:val="7"/>
                <w:sz w:val="22"/>
                <w:szCs w:val="22"/>
              </w:rPr>
              <w:t>11.政府出台有关零售市场政策文件的，按照政府政策文件执行。</w:t>
            </w:r>
          </w:p>
        </w:tc>
      </w:tr>
    </w:tbl>
    <w:p w14:paraId="789B7E22">
      <w:pPr>
        <w:spacing w:line="170" w:lineRule="exact"/>
        <w:rPr>
          <w:sz w:val="40"/>
          <w:szCs w:val="36"/>
        </w:rPr>
      </w:pPr>
    </w:p>
    <w:tbl>
      <w:tblPr>
        <w:tblStyle w:val="103"/>
        <w:tblW w:w="919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3"/>
        <w:gridCol w:w="5048"/>
      </w:tblGrid>
      <w:tr w14:paraId="21629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4143" w:type="dxa"/>
            <w:tcBorders>
              <w:right w:val="nil"/>
            </w:tcBorders>
            <w:vAlign w:val="top"/>
          </w:tcPr>
          <w:p w14:paraId="6206E240">
            <w:pPr>
              <w:pStyle w:val="115"/>
              <w:spacing w:before="200" w:line="228" w:lineRule="auto"/>
              <w:ind w:left="46"/>
              <w:rPr>
                <w:sz w:val="22"/>
                <w:szCs w:val="22"/>
              </w:rPr>
            </w:pPr>
            <w:r>
              <w:rPr>
                <w:spacing w:val="7"/>
                <w:sz w:val="22"/>
                <w:szCs w:val="22"/>
              </w:rPr>
              <w:t>甲方（电力用户</w:t>
            </w:r>
            <w:r>
              <w:rPr>
                <w:spacing w:val="1"/>
                <w:sz w:val="22"/>
                <w:szCs w:val="22"/>
              </w:rPr>
              <w:t>）：（</w:t>
            </w:r>
            <w:r>
              <w:rPr>
                <w:spacing w:val="7"/>
                <w:sz w:val="22"/>
                <w:szCs w:val="22"/>
              </w:rPr>
              <w:t>盖章）</w:t>
            </w:r>
          </w:p>
          <w:p w14:paraId="056FCB32">
            <w:pPr>
              <w:pStyle w:val="115"/>
              <w:spacing w:before="187" w:line="229" w:lineRule="auto"/>
              <w:ind w:left="27"/>
              <w:rPr>
                <w:sz w:val="22"/>
                <w:szCs w:val="22"/>
              </w:rPr>
            </w:pPr>
            <w:r>
              <w:rPr>
                <w:spacing w:val="7"/>
                <w:sz w:val="22"/>
                <w:szCs w:val="22"/>
              </w:rPr>
              <w:t>法定代表人/授权代理人（签字</w:t>
            </w:r>
            <w:r>
              <w:rPr>
                <w:spacing w:val="3"/>
                <w:sz w:val="22"/>
                <w:szCs w:val="22"/>
              </w:rPr>
              <w:t>）：</w:t>
            </w:r>
          </w:p>
          <w:p w14:paraId="35F9F9CC">
            <w:pPr>
              <w:pStyle w:val="115"/>
              <w:spacing w:before="185" w:line="229" w:lineRule="auto"/>
              <w:ind w:left="27"/>
              <w:rPr>
                <w:sz w:val="22"/>
                <w:szCs w:val="22"/>
              </w:rPr>
            </w:pPr>
            <w:r>
              <w:rPr>
                <w:spacing w:val="3"/>
                <w:sz w:val="22"/>
                <w:szCs w:val="22"/>
              </w:rPr>
              <w:t>签字时间：</w:t>
            </w:r>
            <w:r>
              <w:rPr>
                <w:spacing w:val="6"/>
                <w:sz w:val="22"/>
                <w:szCs w:val="22"/>
              </w:rPr>
              <w:t xml:space="preserve">      </w:t>
            </w:r>
            <w:r>
              <w:rPr>
                <w:spacing w:val="3"/>
                <w:sz w:val="22"/>
                <w:szCs w:val="22"/>
              </w:rPr>
              <w:t>年</w:t>
            </w:r>
            <w:r>
              <w:rPr>
                <w:spacing w:val="7"/>
                <w:sz w:val="22"/>
                <w:szCs w:val="22"/>
              </w:rPr>
              <w:t xml:space="preserve">    </w:t>
            </w:r>
            <w:r>
              <w:rPr>
                <w:spacing w:val="3"/>
                <w:sz w:val="22"/>
                <w:szCs w:val="22"/>
              </w:rPr>
              <w:t>月</w:t>
            </w:r>
            <w:r>
              <w:rPr>
                <w:spacing w:val="11"/>
                <w:sz w:val="22"/>
                <w:szCs w:val="22"/>
              </w:rPr>
              <w:t xml:space="preserve">    </w:t>
            </w:r>
            <w:r>
              <w:rPr>
                <w:spacing w:val="3"/>
                <w:sz w:val="22"/>
                <w:szCs w:val="22"/>
              </w:rPr>
              <w:t>日</w:t>
            </w:r>
          </w:p>
        </w:tc>
        <w:tc>
          <w:tcPr>
            <w:tcW w:w="5048" w:type="dxa"/>
            <w:tcBorders>
              <w:left w:val="nil"/>
            </w:tcBorders>
            <w:vAlign w:val="top"/>
          </w:tcPr>
          <w:p w14:paraId="300952B2">
            <w:pPr>
              <w:pStyle w:val="115"/>
              <w:spacing w:before="200" w:line="228" w:lineRule="auto"/>
              <w:ind w:left="1169"/>
              <w:rPr>
                <w:sz w:val="22"/>
                <w:szCs w:val="22"/>
              </w:rPr>
            </w:pPr>
            <w:r>
              <w:rPr>
                <w:spacing w:val="8"/>
                <w:sz w:val="22"/>
                <w:szCs w:val="22"/>
              </w:rPr>
              <w:t>乙方（售电公司</w:t>
            </w:r>
            <w:r>
              <w:rPr>
                <w:sz w:val="22"/>
                <w:szCs w:val="22"/>
              </w:rPr>
              <w:t>）：（</w:t>
            </w:r>
            <w:r>
              <w:rPr>
                <w:spacing w:val="8"/>
                <w:sz w:val="22"/>
                <w:szCs w:val="22"/>
              </w:rPr>
              <w:t>盖章）</w:t>
            </w:r>
          </w:p>
          <w:p w14:paraId="68D16C5C">
            <w:pPr>
              <w:pStyle w:val="115"/>
              <w:spacing w:before="187" w:line="229" w:lineRule="auto"/>
              <w:ind w:left="1158"/>
              <w:rPr>
                <w:sz w:val="22"/>
                <w:szCs w:val="22"/>
              </w:rPr>
            </w:pPr>
            <w:r>
              <w:rPr>
                <w:spacing w:val="7"/>
                <w:sz w:val="22"/>
                <w:szCs w:val="22"/>
              </w:rPr>
              <w:t>法定代表人/授权代理人（签字</w:t>
            </w:r>
            <w:r>
              <w:rPr>
                <w:spacing w:val="3"/>
                <w:sz w:val="22"/>
                <w:szCs w:val="22"/>
              </w:rPr>
              <w:t>）：</w:t>
            </w:r>
          </w:p>
          <w:p w14:paraId="144D9183">
            <w:pPr>
              <w:pStyle w:val="115"/>
              <w:spacing w:before="185" w:line="229" w:lineRule="auto"/>
              <w:ind w:left="1157"/>
              <w:rPr>
                <w:sz w:val="22"/>
                <w:szCs w:val="22"/>
              </w:rPr>
            </w:pPr>
            <w:r>
              <w:rPr>
                <w:spacing w:val="3"/>
                <w:sz w:val="22"/>
                <w:szCs w:val="22"/>
              </w:rPr>
              <w:t>签字时间：</w:t>
            </w:r>
            <w:r>
              <w:rPr>
                <w:spacing w:val="6"/>
                <w:sz w:val="22"/>
                <w:szCs w:val="22"/>
              </w:rPr>
              <w:t xml:space="preserve">      </w:t>
            </w:r>
            <w:r>
              <w:rPr>
                <w:spacing w:val="3"/>
                <w:sz w:val="22"/>
                <w:szCs w:val="22"/>
              </w:rPr>
              <w:t>年</w:t>
            </w:r>
            <w:r>
              <w:rPr>
                <w:spacing w:val="7"/>
                <w:sz w:val="22"/>
                <w:szCs w:val="22"/>
              </w:rPr>
              <w:t xml:space="preserve">    </w:t>
            </w:r>
            <w:r>
              <w:rPr>
                <w:spacing w:val="3"/>
                <w:sz w:val="22"/>
                <w:szCs w:val="22"/>
              </w:rPr>
              <w:t>月</w:t>
            </w:r>
            <w:r>
              <w:rPr>
                <w:spacing w:val="11"/>
                <w:sz w:val="22"/>
                <w:szCs w:val="22"/>
              </w:rPr>
              <w:t xml:space="preserve">    </w:t>
            </w:r>
            <w:r>
              <w:rPr>
                <w:spacing w:val="3"/>
                <w:sz w:val="22"/>
                <w:szCs w:val="22"/>
              </w:rPr>
              <w:t>日</w:t>
            </w:r>
          </w:p>
        </w:tc>
      </w:tr>
    </w:tbl>
    <w:p w14:paraId="127F2456">
      <w:pPr>
        <w:rPr>
          <w:color w:val="auto"/>
          <w:highlight w:val="none"/>
        </w:rPr>
        <w:sectPr>
          <w:pgSz w:w="11905" w:h="16838"/>
          <w:pgMar w:top="1117" w:right="1769" w:bottom="1230" w:left="1769" w:header="879" w:footer="981" w:gutter="0"/>
          <w:cols w:space="0" w:num="1"/>
          <w:rtlGutter w:val="0"/>
          <w:docGrid w:linePitch="0" w:charSpace="0"/>
        </w:sectPr>
      </w:pPr>
    </w:p>
    <w:p w14:paraId="2896E235">
      <w:pPr>
        <w:pStyle w:val="5"/>
        <w:numPr>
          <w:ilvl w:val="1"/>
          <w:numId w:val="0"/>
        </w:numPr>
        <w:spacing w:before="0" w:after="0" w:line="560" w:lineRule="exact"/>
        <w:jc w:val="center"/>
        <w:rPr>
          <w:rFonts w:hint="eastAsia" w:ascii="宋体" w:hAnsi="宋体" w:eastAsia="宋体" w:cs="宋体"/>
          <w:sz w:val="28"/>
          <w:szCs w:val="28"/>
        </w:rPr>
      </w:pPr>
      <w:bookmarkStart w:id="37" w:name="_Toc25588"/>
      <w:bookmarkStart w:id="38" w:name="_Toc21165"/>
      <w:bookmarkStart w:id="39" w:name="_Toc25911"/>
      <w:bookmarkStart w:id="40" w:name="_Toc21831"/>
      <w:r>
        <w:rPr>
          <w:rFonts w:hint="eastAsia" w:ascii="宋体" w:hAnsi="宋体" w:eastAsia="宋体" w:cs="宋体"/>
          <w:sz w:val="28"/>
          <w:szCs w:val="28"/>
          <w:lang w:val="en-US" w:eastAsia="zh-CN"/>
        </w:rPr>
        <w:t>三、</w:t>
      </w:r>
      <w:r>
        <w:rPr>
          <w:rFonts w:hint="eastAsia" w:ascii="宋体" w:hAnsi="宋体" w:eastAsia="宋体" w:cs="宋体"/>
          <w:sz w:val="28"/>
          <w:szCs w:val="28"/>
        </w:rPr>
        <w:t>采购需求</w:t>
      </w:r>
      <w:bookmarkEnd w:id="37"/>
    </w:p>
    <w:bookmarkEnd w:id="38"/>
    <w:bookmarkEnd w:id="39"/>
    <w:bookmarkEnd w:id="40"/>
    <w:p w14:paraId="157569DF">
      <w:pPr>
        <w:numPr>
          <w:ilvl w:val="0"/>
          <w:numId w:val="2"/>
        </w:numPr>
        <w:rPr>
          <w:rFonts w:hint="eastAsia"/>
          <w:b/>
          <w:bCs/>
          <w:sz w:val="30"/>
          <w:szCs w:val="30"/>
          <w:lang w:val="en-US" w:eastAsia="zh-CN"/>
        </w:rPr>
      </w:pPr>
      <w:bookmarkStart w:id="41" w:name="_Toc3033"/>
      <w:r>
        <w:rPr>
          <w:rFonts w:hint="eastAsia"/>
          <w:b/>
          <w:bCs/>
          <w:sz w:val="30"/>
          <w:szCs w:val="30"/>
          <w:lang w:val="en-US" w:eastAsia="zh-CN"/>
        </w:rPr>
        <w:t>项目概况</w:t>
      </w:r>
    </w:p>
    <w:p w14:paraId="67E9E655">
      <w:pPr>
        <w:wordWrap w:val="0"/>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根据中共中央国务院《关于进一步深化电力体制改革的若干意见》（中发[2015]9号）文件、《国家发展改革委关于进一步深化燃煤发电上网电价市场化改革的通知》（[2021]1439号）文件及安徽电力交易中心有限公司《关于开展电力零售市场规范交易专项活动的通知》等文件精神，经院党委会研究决定，我院的用电经市场化采购，走相关采购流程，实行挂网向社会售电企业公开采购。</w:t>
      </w:r>
    </w:p>
    <w:p w14:paraId="7619AE80">
      <w:pPr>
        <w:wordWrap w:val="0"/>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六安市金安区妇幼保健院2024年度用电量为7135560千瓦时，月均用量为594630千瓦时。</w:t>
      </w:r>
    </w:p>
    <w:p w14:paraId="03B0E13E">
      <w:pPr>
        <w:numPr>
          <w:ilvl w:val="0"/>
          <w:numId w:val="2"/>
        </w:numPr>
        <w:ind w:left="0" w:leftChars="0" w:firstLine="0" w:firstLineChars="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采购要求</w:t>
      </w:r>
    </w:p>
    <w:p w14:paraId="20312E67">
      <w:pPr>
        <w:wordWrap w:val="0"/>
        <w:spacing w:line="520" w:lineRule="exact"/>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依据安徽电力交易中心《安徽电力市场2026年度交易风险提示》第一条第五款内容精神，采购人在选择售电公司时综合考虑信用等级、履约担保、交易服务能力等因素选择售电公司，尽量避免通过第三方签订零售代理合同。警惕一些不良售电公司通过承诺低固定价格、浮动价格、基准价格等不合理价格参数诱导签约，并可能在平台绑定时拖签、拒签或提出不合理诉求，造成采购人损失及用电安全风险。</w:t>
      </w:r>
    </w:p>
    <w:p w14:paraId="3D69D7A8">
      <w:pPr>
        <w:wordWrap w:val="0"/>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2.售电公司应有相关的售后服务团队，能提供采购人供电设备的检修服务。</w:t>
      </w:r>
    </w:p>
    <w:p w14:paraId="1C610052">
      <w:pPr>
        <w:wordWrap w:val="0"/>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3.依据《安徽电力零售市场零售套餐参数汇总表》采购人确定采购表中的“套餐一”及“套餐二”两种用电核算方式，每种方式的用电量为采购人年度用电量的50%。</w:t>
      </w:r>
    </w:p>
    <w:p w14:paraId="438BE92C">
      <w:pPr>
        <w:wordWrap w:val="0"/>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4.“套餐二”中的“浮动价格为”0.</w:t>
      </w:r>
    </w:p>
    <w:p w14:paraId="7404A8A4">
      <w:pPr>
        <w:wordWrap w:val="0"/>
        <w:spacing w:line="520" w:lineRule="exact"/>
        <w:ind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5.“绿电需求量”为0.</w:t>
      </w:r>
    </w:p>
    <w:p w14:paraId="50EFB858">
      <w:pPr>
        <w:wordWrap w:val="0"/>
        <w:spacing w:line="520" w:lineRule="exact"/>
        <w:ind w:firstLine="480" w:firstLineChars="200"/>
        <w:rPr>
          <w:rFonts w:hint="eastAsia" w:ascii="宋体" w:hAnsi="宋体" w:eastAsia="宋体" w:cs="宋体"/>
          <w:sz w:val="28"/>
          <w:szCs w:val="28"/>
        </w:rPr>
      </w:pPr>
      <w:r>
        <w:rPr>
          <w:rFonts w:hint="eastAsia" w:ascii="宋体" w:hAnsi="宋体" w:cs="宋体"/>
          <w:sz w:val="24"/>
          <w:szCs w:val="24"/>
          <w:lang w:val="en-US" w:eastAsia="zh-CN"/>
        </w:rPr>
        <w:t>6.解约条款中K解约%=101%</w:t>
      </w:r>
    </w:p>
    <w:p w14:paraId="59ED6A21">
      <w:pPr>
        <w:pStyle w:val="4"/>
        <w:bidi w:val="0"/>
        <w:rPr>
          <w:rFonts w:hint="eastAsia"/>
        </w:rPr>
      </w:pPr>
    </w:p>
    <w:p w14:paraId="5BE9CC5A">
      <w:pPr>
        <w:pStyle w:val="4"/>
        <w:bidi w:val="0"/>
        <w:rPr>
          <w:b/>
          <w:bCs/>
        </w:rPr>
      </w:pPr>
      <w:r>
        <w:rPr>
          <w:rFonts w:hint="eastAsia"/>
        </w:rPr>
        <w:t>四、</w:t>
      </w:r>
      <w:r>
        <w:rPr>
          <w:rFonts w:hint="eastAsia"/>
          <w:b/>
          <w:bCs/>
        </w:rPr>
        <w:t>评审方法和标准</w:t>
      </w:r>
      <w:bookmarkEnd w:id="41"/>
    </w:p>
    <w:p w14:paraId="5B3907F8">
      <w:pPr>
        <w:pStyle w:val="5"/>
        <w:numPr>
          <w:ilvl w:val="1"/>
          <w:numId w:val="0"/>
        </w:numPr>
        <w:bidi w:val="0"/>
        <w:spacing w:before="0" w:after="0" w:line="240" w:lineRule="auto"/>
        <w:rPr>
          <w:sz w:val="30"/>
          <w:szCs w:val="30"/>
        </w:rPr>
      </w:pPr>
      <w:r>
        <w:rPr>
          <w:rFonts w:hint="eastAsia"/>
          <w:sz w:val="30"/>
          <w:szCs w:val="30"/>
        </w:rPr>
        <w:t>（一）资格审查</w:t>
      </w:r>
    </w:p>
    <w:p w14:paraId="199FDD15">
      <w:pPr>
        <w:wordWrap w:val="0"/>
        <w:spacing w:line="520" w:lineRule="exact"/>
        <w:ind w:firstLine="480" w:firstLineChars="200"/>
        <w:rPr>
          <w:rFonts w:ascii="宋体" w:hAnsi="宋体" w:cs="宋体"/>
          <w:sz w:val="24"/>
          <w:szCs w:val="24"/>
        </w:rPr>
      </w:pPr>
      <w:r>
        <w:rPr>
          <w:rFonts w:hint="eastAsia" w:ascii="宋体" w:hAnsi="宋体" w:cs="宋体"/>
          <w:sz w:val="24"/>
          <w:szCs w:val="24"/>
        </w:rPr>
        <w:t>采购人对供应商的资格进行审查，审查响应文件是否响应了磋商文件的资格要求。当发现供应商或其响应文件存在下列情况之一时，将判定供应商的资格不符合要求，资格审查不通过。</w:t>
      </w:r>
    </w:p>
    <w:p w14:paraId="399A6177">
      <w:pPr>
        <w:spacing w:line="192" w:lineRule="exact"/>
        <w:rPr>
          <w:rFonts w:ascii="宋体" w:hAnsi="宋体" w:cs="宋体"/>
          <w:sz w:val="24"/>
          <w:szCs w:val="24"/>
        </w:rPr>
      </w:pPr>
    </w:p>
    <w:tbl>
      <w:tblPr>
        <w:tblStyle w:val="103"/>
        <w:tblW w:w="88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8" w:type="dxa"/>
          <w:bottom w:w="0" w:type="dxa"/>
          <w:right w:w="28" w:type="dxa"/>
        </w:tblCellMar>
      </w:tblPr>
      <w:tblGrid>
        <w:gridCol w:w="929"/>
        <w:gridCol w:w="1441"/>
        <w:gridCol w:w="6489"/>
      </w:tblGrid>
      <w:tr w14:paraId="6878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2370" w:type="dxa"/>
            <w:gridSpan w:val="2"/>
            <w:vAlign w:val="center"/>
          </w:tcPr>
          <w:p w14:paraId="3553ED4F">
            <w:pPr>
              <w:spacing w:line="400" w:lineRule="exact"/>
              <w:jc w:val="center"/>
              <w:rPr>
                <w:rFonts w:ascii="宋体" w:hAnsi="宋体" w:cs="宋体"/>
                <w:b/>
                <w:bCs/>
                <w:sz w:val="24"/>
                <w:szCs w:val="24"/>
              </w:rPr>
            </w:pPr>
            <w:r>
              <w:rPr>
                <w:rFonts w:hint="eastAsia" w:ascii="宋体" w:hAnsi="宋体" w:cs="宋体"/>
                <w:b/>
                <w:bCs/>
                <w:sz w:val="24"/>
                <w:szCs w:val="24"/>
              </w:rPr>
              <w:t>审查内容</w:t>
            </w:r>
          </w:p>
        </w:tc>
        <w:tc>
          <w:tcPr>
            <w:tcW w:w="6489" w:type="dxa"/>
            <w:vAlign w:val="center"/>
          </w:tcPr>
          <w:p w14:paraId="63402552">
            <w:pPr>
              <w:spacing w:line="400" w:lineRule="exact"/>
              <w:jc w:val="center"/>
              <w:rPr>
                <w:rFonts w:ascii="宋体" w:hAnsi="宋体" w:cs="宋体"/>
                <w:b/>
                <w:bCs/>
                <w:sz w:val="24"/>
                <w:szCs w:val="24"/>
              </w:rPr>
            </w:pPr>
            <w:r>
              <w:rPr>
                <w:rFonts w:hint="eastAsia" w:ascii="宋体" w:hAnsi="宋体" w:cs="宋体"/>
                <w:b/>
                <w:bCs/>
                <w:sz w:val="24"/>
                <w:szCs w:val="24"/>
              </w:rPr>
              <w:t>审查标准</w:t>
            </w:r>
          </w:p>
        </w:tc>
      </w:tr>
      <w:tr w14:paraId="7107B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restart"/>
            <w:tcBorders>
              <w:bottom w:val="nil"/>
            </w:tcBorders>
            <w:vAlign w:val="center"/>
          </w:tcPr>
          <w:p w14:paraId="420F833C">
            <w:pPr>
              <w:spacing w:line="400" w:lineRule="exact"/>
              <w:jc w:val="center"/>
              <w:rPr>
                <w:rFonts w:ascii="宋体" w:hAnsi="宋体" w:cs="宋体"/>
                <w:sz w:val="24"/>
                <w:szCs w:val="24"/>
              </w:rPr>
            </w:pPr>
            <w:r>
              <w:rPr>
                <w:rFonts w:hint="eastAsia" w:ascii="宋体" w:hAnsi="宋体" w:cs="宋体"/>
                <w:sz w:val="24"/>
                <w:szCs w:val="24"/>
              </w:rPr>
              <w:t>资格</w:t>
            </w:r>
          </w:p>
          <w:p w14:paraId="40173D86">
            <w:pPr>
              <w:spacing w:line="400" w:lineRule="exact"/>
              <w:jc w:val="center"/>
              <w:rPr>
                <w:rFonts w:ascii="宋体" w:hAnsi="宋体" w:cs="宋体"/>
                <w:sz w:val="24"/>
                <w:szCs w:val="24"/>
              </w:rPr>
            </w:pPr>
            <w:r>
              <w:rPr>
                <w:rFonts w:hint="eastAsia" w:ascii="宋体" w:hAnsi="宋体" w:cs="宋体"/>
                <w:sz w:val="24"/>
                <w:szCs w:val="24"/>
              </w:rPr>
              <w:t>审查</w:t>
            </w:r>
          </w:p>
        </w:tc>
        <w:tc>
          <w:tcPr>
            <w:tcW w:w="1441" w:type="dxa"/>
            <w:vAlign w:val="center"/>
          </w:tcPr>
          <w:p w14:paraId="68BDD7E2">
            <w:pPr>
              <w:spacing w:line="400" w:lineRule="exact"/>
              <w:jc w:val="center"/>
              <w:rPr>
                <w:rFonts w:ascii="宋体" w:hAnsi="宋体" w:cs="宋体"/>
                <w:sz w:val="24"/>
                <w:szCs w:val="24"/>
              </w:rPr>
            </w:pPr>
            <w:r>
              <w:rPr>
                <w:rFonts w:hint="eastAsia" w:ascii="宋体" w:hAnsi="宋体" w:cs="宋体"/>
                <w:sz w:val="24"/>
                <w:szCs w:val="24"/>
              </w:rPr>
              <w:t>营业执照</w:t>
            </w:r>
          </w:p>
        </w:tc>
        <w:tc>
          <w:tcPr>
            <w:tcW w:w="6489" w:type="dxa"/>
            <w:vAlign w:val="center"/>
          </w:tcPr>
          <w:p w14:paraId="5E7AA07F">
            <w:pPr>
              <w:spacing w:line="400" w:lineRule="exact"/>
              <w:rPr>
                <w:rFonts w:ascii="宋体" w:hAnsi="宋体" w:cs="宋体"/>
                <w:sz w:val="24"/>
                <w:szCs w:val="24"/>
              </w:rPr>
            </w:pPr>
            <w:r>
              <w:rPr>
                <w:rFonts w:hint="eastAsia" w:ascii="宋体" w:hAnsi="宋体" w:cs="宋体"/>
                <w:sz w:val="24"/>
                <w:szCs w:val="24"/>
              </w:rPr>
              <w:t>未提供营业执照</w:t>
            </w:r>
          </w:p>
        </w:tc>
      </w:tr>
      <w:tr w14:paraId="139B8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vAlign w:val="center"/>
          </w:tcPr>
          <w:p w14:paraId="04D2BF89">
            <w:pPr>
              <w:spacing w:line="400" w:lineRule="exact"/>
              <w:jc w:val="center"/>
              <w:rPr>
                <w:rFonts w:ascii="宋体" w:hAnsi="宋体" w:cs="宋体"/>
                <w:sz w:val="24"/>
                <w:szCs w:val="24"/>
              </w:rPr>
            </w:pPr>
          </w:p>
        </w:tc>
        <w:tc>
          <w:tcPr>
            <w:tcW w:w="1441" w:type="dxa"/>
            <w:vAlign w:val="center"/>
          </w:tcPr>
          <w:p w14:paraId="4736ACD3">
            <w:pPr>
              <w:spacing w:line="400" w:lineRule="exact"/>
              <w:jc w:val="center"/>
              <w:rPr>
                <w:rFonts w:ascii="宋体" w:hAnsi="宋体" w:cs="宋体"/>
                <w:sz w:val="24"/>
                <w:szCs w:val="24"/>
              </w:rPr>
            </w:pPr>
            <w:r>
              <w:rPr>
                <w:rFonts w:hint="eastAsia" w:ascii="宋体" w:hAnsi="宋体" w:cs="宋体"/>
                <w:sz w:val="24"/>
                <w:szCs w:val="24"/>
              </w:rPr>
              <w:t>资格条件</w:t>
            </w:r>
          </w:p>
        </w:tc>
        <w:tc>
          <w:tcPr>
            <w:tcW w:w="6489" w:type="dxa"/>
            <w:vAlign w:val="center"/>
          </w:tcPr>
          <w:p w14:paraId="6F55748B">
            <w:pPr>
              <w:spacing w:line="400" w:lineRule="exact"/>
              <w:rPr>
                <w:rFonts w:ascii="宋体" w:hAnsi="宋体" w:cs="宋体"/>
                <w:sz w:val="24"/>
                <w:szCs w:val="24"/>
              </w:rPr>
            </w:pPr>
            <w:r>
              <w:rPr>
                <w:rFonts w:hint="eastAsia" w:ascii="宋体" w:hAnsi="宋体" w:cs="宋体"/>
                <w:sz w:val="24"/>
                <w:szCs w:val="24"/>
              </w:rPr>
              <w:t>不符合磋商文件要求</w:t>
            </w:r>
          </w:p>
        </w:tc>
      </w:tr>
      <w:tr w14:paraId="3ABE6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454" w:hRule="atLeast"/>
          <w:jc w:val="center"/>
        </w:trPr>
        <w:tc>
          <w:tcPr>
            <w:tcW w:w="929" w:type="dxa"/>
            <w:vMerge w:val="continue"/>
            <w:tcBorders>
              <w:top w:val="nil"/>
              <w:bottom w:val="nil"/>
            </w:tcBorders>
            <w:vAlign w:val="center"/>
          </w:tcPr>
          <w:p w14:paraId="198CFD07">
            <w:pPr>
              <w:spacing w:line="400" w:lineRule="exact"/>
              <w:jc w:val="center"/>
              <w:rPr>
                <w:rFonts w:ascii="宋体" w:hAnsi="宋体" w:cs="宋体"/>
                <w:sz w:val="24"/>
                <w:szCs w:val="24"/>
              </w:rPr>
            </w:pPr>
          </w:p>
        </w:tc>
        <w:tc>
          <w:tcPr>
            <w:tcW w:w="1441" w:type="dxa"/>
            <w:vAlign w:val="center"/>
          </w:tcPr>
          <w:p w14:paraId="6AFCE5B5">
            <w:pPr>
              <w:spacing w:line="400" w:lineRule="exact"/>
              <w:jc w:val="center"/>
              <w:rPr>
                <w:rFonts w:ascii="宋体" w:hAnsi="宋体" w:cs="宋体"/>
                <w:sz w:val="24"/>
                <w:szCs w:val="24"/>
              </w:rPr>
            </w:pPr>
            <w:r>
              <w:rPr>
                <w:rFonts w:hint="eastAsia" w:ascii="宋体" w:hAnsi="宋体" w:cs="宋体"/>
                <w:sz w:val="24"/>
                <w:szCs w:val="24"/>
              </w:rPr>
              <w:t>信用要求</w:t>
            </w:r>
          </w:p>
        </w:tc>
        <w:tc>
          <w:tcPr>
            <w:tcW w:w="6489" w:type="dxa"/>
            <w:vAlign w:val="center"/>
          </w:tcPr>
          <w:p w14:paraId="563ADF3E">
            <w:pPr>
              <w:spacing w:line="400" w:lineRule="exact"/>
              <w:rPr>
                <w:rFonts w:ascii="宋体" w:hAnsi="宋体" w:cs="宋体"/>
                <w:sz w:val="24"/>
                <w:szCs w:val="24"/>
              </w:rPr>
            </w:pPr>
            <w:r>
              <w:rPr>
                <w:rFonts w:hint="eastAsia" w:ascii="宋体" w:hAnsi="宋体" w:cs="宋体"/>
                <w:sz w:val="24"/>
                <w:szCs w:val="24"/>
              </w:rPr>
              <w:t>不符合磋商文件要求</w:t>
            </w:r>
          </w:p>
          <w:p w14:paraId="20D3597B">
            <w:pPr>
              <w:spacing w:line="400" w:lineRule="exact"/>
              <w:rPr>
                <w:rFonts w:ascii="宋体" w:hAnsi="宋体" w:cs="宋体"/>
                <w:sz w:val="24"/>
                <w:szCs w:val="24"/>
              </w:rPr>
            </w:pPr>
            <w:r>
              <w:rPr>
                <w:rFonts w:hint="eastAsia" w:ascii="宋体" w:hAnsi="宋体" w:cs="宋体"/>
                <w:sz w:val="24"/>
                <w:szCs w:val="24"/>
              </w:rPr>
              <w:t>注 ：</w:t>
            </w:r>
          </w:p>
          <w:p w14:paraId="1A6A3D39">
            <w:pPr>
              <w:spacing w:line="400" w:lineRule="exact"/>
              <w:rPr>
                <w:rFonts w:ascii="宋体" w:hAnsi="宋体" w:cs="宋体"/>
                <w:sz w:val="24"/>
                <w:szCs w:val="24"/>
              </w:rPr>
            </w:pPr>
            <w:r>
              <w:rPr>
                <w:rFonts w:hint="eastAsia" w:ascii="宋体" w:hAnsi="宋体" w:cs="宋体"/>
                <w:sz w:val="24"/>
                <w:szCs w:val="24"/>
              </w:rPr>
              <w:t>1.信用记录查询渠道：</w:t>
            </w:r>
          </w:p>
          <w:p w14:paraId="3C195DE2">
            <w:pPr>
              <w:spacing w:line="400" w:lineRule="exac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1</w:t>
            </w:r>
            <w:r>
              <w:rPr>
                <w:rFonts w:hint="eastAsia" w:ascii="宋体" w:hAnsi="宋体" w:cs="宋体"/>
                <w:sz w:val="24"/>
                <w:szCs w:val="24"/>
                <w:lang w:eastAsia="zh-CN"/>
              </w:rPr>
              <w:t>）</w:t>
            </w:r>
            <w:r>
              <w:rPr>
                <w:rFonts w:hint="eastAsia" w:ascii="宋体" w:hAnsi="宋体" w:cs="宋体"/>
                <w:sz w:val="24"/>
                <w:szCs w:val="24"/>
              </w:rPr>
              <w:t>被人民法院列入失信被执行人名单的</w:t>
            </w:r>
            <w:r>
              <w:rPr>
                <w:rFonts w:hint="eastAsia" w:ascii="宋体" w:hAnsi="宋体" w:cs="宋体"/>
                <w:sz w:val="24"/>
                <w:szCs w:val="24"/>
                <w:lang w:eastAsia="zh-CN"/>
              </w:rPr>
              <w:t>（</w:t>
            </w:r>
            <w:r>
              <w:rPr>
                <w:rFonts w:hint="eastAsia" w:ascii="宋体" w:hAnsi="宋体" w:cs="宋体"/>
                <w:sz w:val="24"/>
                <w:szCs w:val="24"/>
              </w:rPr>
              <w:t>以</w:t>
            </w:r>
          </w:p>
          <w:p w14:paraId="211A5D52">
            <w:pPr>
              <w:spacing w:line="400" w:lineRule="exact"/>
              <w:rPr>
                <w:rFonts w:hint="eastAsia" w:ascii="宋体" w:hAnsi="宋体" w:eastAsia="宋体" w:cs="宋体"/>
                <w:sz w:val="24"/>
                <w:szCs w:val="24"/>
                <w:lang w:eastAsia="zh-CN"/>
              </w:rPr>
            </w:pPr>
            <w:r>
              <w:rPr>
                <w:rFonts w:hint="eastAsia" w:ascii="宋体" w:hAnsi="宋体" w:cs="宋体"/>
                <w:sz w:val="24"/>
                <w:szCs w:val="24"/>
              </w:rPr>
              <w:t>www.creditchina.gov.cn查询为准</w:t>
            </w:r>
            <w:r>
              <w:rPr>
                <w:rFonts w:hint="eastAsia" w:ascii="宋体" w:hAnsi="宋体" w:cs="宋体"/>
                <w:sz w:val="24"/>
                <w:szCs w:val="24"/>
                <w:lang w:eastAsia="zh-CN"/>
              </w:rPr>
              <w:t>）</w:t>
            </w:r>
          </w:p>
          <w:p w14:paraId="4A1B0B58">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被税务机关列入重大税收违法失信主体名单的</w:t>
            </w:r>
            <w:r>
              <w:rPr>
                <w:rFonts w:hint="eastAsia" w:ascii="宋体" w:hAnsi="宋体" w:cs="宋体"/>
                <w:sz w:val="24"/>
                <w:szCs w:val="24"/>
                <w:lang w:eastAsia="zh-CN"/>
              </w:rPr>
              <w:t>（</w:t>
            </w:r>
            <w:r>
              <w:rPr>
                <w:rFonts w:hint="eastAsia" w:ascii="宋体" w:hAnsi="宋体" w:cs="宋体"/>
                <w:sz w:val="24"/>
                <w:szCs w:val="24"/>
              </w:rPr>
              <w:t>以ww w.creditchina.gov.cn查询为准</w:t>
            </w:r>
            <w:r>
              <w:rPr>
                <w:rFonts w:hint="eastAsia" w:ascii="宋体" w:hAnsi="宋体" w:cs="宋体"/>
                <w:sz w:val="24"/>
                <w:szCs w:val="24"/>
                <w:lang w:eastAsia="zh-CN"/>
              </w:rPr>
              <w:t>）</w:t>
            </w:r>
          </w:p>
          <w:p w14:paraId="720D19D6">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 xml:space="preserve">被财政部门列入政府采购严重违法失信行为记录名单的 </w:t>
            </w:r>
            <w:r>
              <w:rPr>
                <w:rFonts w:hint="eastAsia" w:ascii="宋体" w:hAnsi="宋体" w:cs="宋体"/>
                <w:sz w:val="24"/>
                <w:szCs w:val="24"/>
                <w:lang w:eastAsia="zh-CN"/>
              </w:rPr>
              <w:t>（</w:t>
            </w:r>
            <w:r>
              <w:rPr>
                <w:rFonts w:hint="eastAsia" w:ascii="宋体" w:hAnsi="宋体" w:cs="宋体"/>
                <w:sz w:val="24"/>
                <w:szCs w:val="24"/>
              </w:rPr>
              <w:t>以www.ccgp.gov.cn/查询为准</w:t>
            </w:r>
            <w:r>
              <w:rPr>
                <w:rFonts w:hint="eastAsia" w:ascii="宋体" w:hAnsi="宋体" w:cs="宋体"/>
                <w:sz w:val="24"/>
                <w:szCs w:val="24"/>
                <w:lang w:eastAsia="zh-CN"/>
              </w:rPr>
              <w:t>）</w:t>
            </w:r>
          </w:p>
          <w:p w14:paraId="64509AF6">
            <w:pPr>
              <w:spacing w:line="400" w:lineRule="exact"/>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4</w:t>
            </w:r>
            <w:r>
              <w:rPr>
                <w:rFonts w:hint="eastAsia" w:ascii="宋体" w:hAnsi="宋体" w:cs="宋体"/>
                <w:sz w:val="24"/>
                <w:szCs w:val="24"/>
                <w:lang w:eastAsia="zh-CN"/>
              </w:rPr>
              <w:t>）</w:t>
            </w:r>
            <w:r>
              <w:rPr>
                <w:rFonts w:hint="eastAsia" w:ascii="宋体" w:hAnsi="宋体" w:cs="宋体"/>
                <w:sz w:val="24"/>
                <w:szCs w:val="24"/>
              </w:rPr>
              <w:t>被市场监督管理部门列入严重违法失信名单的</w:t>
            </w:r>
            <w:r>
              <w:rPr>
                <w:rFonts w:hint="eastAsia" w:ascii="宋体" w:hAnsi="宋体" w:cs="宋体"/>
                <w:sz w:val="24"/>
                <w:szCs w:val="24"/>
                <w:lang w:eastAsia="zh-CN"/>
              </w:rPr>
              <w:t>（</w:t>
            </w:r>
            <w:r>
              <w:rPr>
                <w:rFonts w:hint="eastAsia" w:ascii="宋体" w:hAnsi="宋体" w:cs="宋体"/>
                <w:sz w:val="24"/>
                <w:szCs w:val="24"/>
              </w:rPr>
              <w:t>以 www.gsxt.gov.cn查询为准</w:t>
            </w:r>
            <w:r>
              <w:rPr>
                <w:rFonts w:hint="eastAsia" w:ascii="宋体" w:hAnsi="宋体" w:cs="宋体"/>
                <w:sz w:val="24"/>
                <w:szCs w:val="24"/>
                <w:lang w:eastAsia="zh-CN"/>
              </w:rPr>
              <w:t>）</w:t>
            </w:r>
          </w:p>
          <w:p w14:paraId="6D56A002">
            <w:pPr>
              <w:spacing w:line="400" w:lineRule="exact"/>
              <w:rPr>
                <w:rFonts w:ascii="宋体" w:hAnsi="宋体" w:cs="宋体"/>
                <w:sz w:val="24"/>
                <w:szCs w:val="24"/>
              </w:rPr>
            </w:pPr>
            <w:r>
              <w:rPr>
                <w:rFonts w:hint="eastAsia" w:ascii="宋体" w:hAnsi="宋体" w:cs="宋体"/>
                <w:sz w:val="24"/>
                <w:szCs w:val="24"/>
              </w:rPr>
              <w:t>2.供应商在响应文件中无需提供证明材料，由采购人查询供应商的信用记录，信用记录以投标截止时间 的记录信息为准。</w:t>
            </w:r>
          </w:p>
          <w:p w14:paraId="63D7363F">
            <w:pPr>
              <w:spacing w:line="400" w:lineRule="exact"/>
              <w:rPr>
                <w:rFonts w:ascii="宋体" w:hAnsi="宋体" w:cs="宋体"/>
                <w:sz w:val="24"/>
                <w:szCs w:val="24"/>
              </w:rPr>
            </w:pPr>
            <w:r>
              <w:rPr>
                <w:rFonts w:hint="eastAsia" w:ascii="宋体" w:hAnsi="宋体" w:cs="宋体"/>
                <w:sz w:val="24"/>
                <w:szCs w:val="24"/>
              </w:rPr>
              <w:t>3.信用信息记录方式：采购人工作人员将查 询网页截图随其他采购资料一同存档备查。</w:t>
            </w:r>
          </w:p>
          <w:p w14:paraId="5BF3D334">
            <w:pPr>
              <w:spacing w:line="400" w:lineRule="exact"/>
              <w:rPr>
                <w:rFonts w:hint="eastAsia" w:ascii="宋体" w:hAnsi="宋体" w:cs="宋体"/>
                <w:sz w:val="24"/>
                <w:szCs w:val="24"/>
              </w:rPr>
            </w:pPr>
            <w:r>
              <w:rPr>
                <w:rFonts w:hint="eastAsia" w:ascii="宋体" w:hAnsi="宋体" w:cs="宋体"/>
                <w:sz w:val="24"/>
                <w:szCs w:val="24"/>
              </w:rPr>
              <w:t>4.在上述规定的查询时间之外，网站信息发生的任何变更均 不作为资格审查依据。</w:t>
            </w:r>
          </w:p>
          <w:p w14:paraId="49B6B97E">
            <w:pPr>
              <w:spacing w:line="400" w:lineRule="exact"/>
              <w:rPr>
                <w:rFonts w:hint="eastAsia" w:ascii="宋体" w:hAnsi="宋体" w:cs="宋体"/>
                <w:sz w:val="24"/>
                <w:szCs w:val="24"/>
                <w:lang w:val="en-US" w:eastAsia="zh-CN"/>
              </w:rPr>
            </w:pPr>
            <w:r>
              <w:rPr>
                <w:rFonts w:hint="eastAsia" w:ascii="宋体" w:hAnsi="宋体" w:cs="宋体"/>
                <w:sz w:val="24"/>
                <w:szCs w:val="24"/>
                <w:lang w:val="en-US" w:eastAsia="zh-CN"/>
              </w:rPr>
              <w:t>5.特定资格条件：</w:t>
            </w:r>
          </w:p>
          <w:p w14:paraId="3AF66930">
            <w:pPr>
              <w:spacing w:line="400" w:lineRule="exact"/>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报价单位具有独立法人资格，持有工商行政管理部门颁发的有效的法人营业执照。具有良好的银行资信和商业信誉，按国家法律经营，未处于被责令停业、投标资格被取消、财产冻结，破产清算状态。企业资信良好，无被执行情况；</w:t>
            </w:r>
          </w:p>
          <w:p w14:paraId="0C7CD2EF">
            <w:pPr>
              <w:spacing w:line="400" w:lineRule="exact"/>
              <w:rPr>
                <w:rFonts w:hint="default" w:ascii="宋体" w:hAnsi="宋体" w:eastAsia="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lang w:val="en-US" w:eastAsia="zh-CN"/>
              </w:rPr>
              <w:t>报价单位已通过安徽省电力交易中心审核、公示，为安徽省内有效的电力交易主体。</w:t>
            </w:r>
          </w:p>
        </w:tc>
      </w:tr>
      <w:tr w14:paraId="4FA70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8" w:type="dxa"/>
            <w:bottom w:w="0" w:type="dxa"/>
            <w:right w:w="28" w:type="dxa"/>
          </w:tblCellMar>
        </w:tblPrEx>
        <w:trPr>
          <w:trHeight w:val="840" w:hRule="atLeast"/>
          <w:jc w:val="center"/>
        </w:trPr>
        <w:tc>
          <w:tcPr>
            <w:tcW w:w="929" w:type="dxa"/>
            <w:vMerge w:val="continue"/>
            <w:tcBorders>
              <w:top w:val="nil"/>
            </w:tcBorders>
            <w:vAlign w:val="center"/>
          </w:tcPr>
          <w:p w14:paraId="09B17B71">
            <w:pPr>
              <w:spacing w:line="400" w:lineRule="exact"/>
              <w:jc w:val="center"/>
              <w:rPr>
                <w:rFonts w:ascii="宋体" w:hAnsi="宋体" w:cs="宋体"/>
                <w:sz w:val="24"/>
                <w:szCs w:val="24"/>
              </w:rPr>
            </w:pPr>
          </w:p>
        </w:tc>
        <w:tc>
          <w:tcPr>
            <w:tcW w:w="1441" w:type="dxa"/>
            <w:vAlign w:val="center"/>
          </w:tcPr>
          <w:p w14:paraId="1516C9FE">
            <w:pPr>
              <w:spacing w:line="400" w:lineRule="exact"/>
              <w:jc w:val="center"/>
              <w:rPr>
                <w:rFonts w:ascii="宋体" w:hAnsi="宋体" w:cs="宋体"/>
                <w:sz w:val="24"/>
                <w:szCs w:val="24"/>
              </w:rPr>
            </w:pPr>
            <w:r>
              <w:rPr>
                <w:rFonts w:hint="eastAsia" w:ascii="宋体" w:hAnsi="宋体" w:cs="宋体"/>
                <w:sz w:val="24"/>
                <w:szCs w:val="24"/>
              </w:rPr>
              <w:t>其他</w:t>
            </w:r>
          </w:p>
        </w:tc>
        <w:tc>
          <w:tcPr>
            <w:tcW w:w="6489" w:type="dxa"/>
            <w:vAlign w:val="center"/>
          </w:tcPr>
          <w:p w14:paraId="6415F9FC">
            <w:pPr>
              <w:spacing w:line="400" w:lineRule="exact"/>
              <w:rPr>
                <w:rFonts w:ascii="宋体" w:hAnsi="宋体" w:cs="宋体"/>
                <w:sz w:val="24"/>
                <w:szCs w:val="24"/>
              </w:rPr>
            </w:pPr>
            <w:r>
              <w:rPr>
                <w:rFonts w:hint="eastAsia" w:ascii="宋体" w:hAnsi="宋体" w:cs="宋体"/>
                <w:sz w:val="24"/>
                <w:szCs w:val="24"/>
              </w:rPr>
              <w:t>供应商被行政监督部门作出禁止响应处罚且在有效期内的，或其他违反法律法规和磋商文件规定的应该按无效响应处理的情形</w:t>
            </w:r>
          </w:p>
        </w:tc>
      </w:tr>
    </w:tbl>
    <w:p w14:paraId="486D8D78">
      <w:pPr>
        <w:pStyle w:val="5"/>
        <w:numPr>
          <w:ilvl w:val="1"/>
          <w:numId w:val="0"/>
        </w:numPr>
        <w:bidi w:val="0"/>
        <w:rPr>
          <w:sz w:val="30"/>
          <w:szCs w:val="30"/>
        </w:rPr>
      </w:pPr>
      <w:r>
        <w:rPr>
          <w:rFonts w:hint="eastAsia"/>
        </w:rPr>
        <w:t>（</w:t>
      </w:r>
      <w:r>
        <w:rPr>
          <w:rFonts w:hint="eastAsia"/>
          <w:sz w:val="30"/>
          <w:szCs w:val="30"/>
        </w:rPr>
        <w:t>二）综合评审</w:t>
      </w:r>
    </w:p>
    <w:p w14:paraId="69A1B01A">
      <w:pPr>
        <w:spacing w:line="520" w:lineRule="exact"/>
        <w:ind w:firstLine="472" w:firstLineChars="200"/>
        <w:jc w:val="left"/>
        <w:rPr>
          <w:rFonts w:ascii="宋体" w:hAnsi="宋体" w:cs="宋体"/>
          <w:sz w:val="24"/>
          <w:szCs w:val="24"/>
        </w:rPr>
      </w:pPr>
      <w:r>
        <w:rPr>
          <w:rFonts w:hint="eastAsia" w:ascii="宋体" w:hAnsi="宋体" w:cs="宋体"/>
          <w:spacing w:val="-2"/>
          <w:sz w:val="24"/>
          <w:szCs w:val="24"/>
        </w:rPr>
        <w:t>由磋商小组根据磋商文件规定的评审程序、评审方法和评审标准进行评审。</w:t>
      </w:r>
    </w:p>
    <w:p w14:paraId="415E23F0">
      <w:pPr>
        <w:pStyle w:val="12"/>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1、本次磋商采用百分制评分法，商务（报价）权重</w:t>
      </w:r>
      <w:r>
        <w:rPr>
          <w:rFonts w:hint="eastAsia" w:ascii="宋体" w:hAnsi="宋体" w:eastAsia="宋体" w:cs="宋体"/>
          <w:sz w:val="24"/>
          <w:szCs w:val="24"/>
          <w:u w:val="single"/>
          <w:lang w:val="en-US" w:eastAsia="zh-CN"/>
        </w:rPr>
        <w:t xml:space="preserve">30 </w:t>
      </w:r>
      <w:r>
        <w:rPr>
          <w:rFonts w:hint="eastAsia" w:ascii="宋体" w:hAnsi="宋体" w:eastAsia="宋体" w:cs="宋体"/>
          <w:sz w:val="24"/>
          <w:szCs w:val="24"/>
        </w:rPr>
        <w:t>%，经评审满足磋商文件要求且最后报价最低的供应商的价格为磋商基准价，其价格为满分，得</w:t>
      </w:r>
      <w:r>
        <w:rPr>
          <w:rFonts w:hint="eastAsia" w:ascii="宋体" w:hAnsi="宋体" w:eastAsia="宋体" w:cs="宋体"/>
          <w:sz w:val="24"/>
          <w:szCs w:val="24"/>
          <w:u w:val="single"/>
          <w:lang w:val="en-US" w:eastAsia="zh-CN"/>
        </w:rPr>
        <w:t xml:space="preserve"> 30 </w:t>
      </w:r>
      <w:r>
        <w:rPr>
          <w:rFonts w:hint="eastAsia" w:ascii="宋体" w:hAnsi="宋体" w:eastAsia="宋体" w:cs="宋体"/>
          <w:sz w:val="24"/>
          <w:szCs w:val="24"/>
        </w:rPr>
        <w:t>分。其他供应商的价格分统一按照下列公式计算：</w:t>
      </w:r>
    </w:p>
    <w:p w14:paraId="2C45DE05">
      <w:pPr>
        <w:pStyle w:val="12"/>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磋商报价得分=（磋商基准价/最后磋商报价）×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30 </w:t>
      </w:r>
      <w:r>
        <w:rPr>
          <w:rFonts w:hint="eastAsia" w:ascii="宋体" w:hAnsi="宋体" w:eastAsia="宋体" w:cs="宋体"/>
          <w:sz w:val="24"/>
          <w:szCs w:val="24"/>
        </w:rPr>
        <w:t>%×100。</w:t>
      </w:r>
    </w:p>
    <w:p w14:paraId="3FD0E8CC">
      <w:pPr>
        <w:pStyle w:val="12"/>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注：超过最高限价的最后磋商报价为无效报价，按废标处理。</w:t>
      </w:r>
    </w:p>
    <w:p w14:paraId="1BDDD1CF">
      <w:pPr>
        <w:pStyle w:val="12"/>
        <w:spacing w:line="520" w:lineRule="exact"/>
        <w:ind w:firstLine="480" w:firstLineChars="200"/>
        <w:rPr>
          <w:rFonts w:hint="eastAsia" w:ascii="黑体" w:hAnsi="黑体" w:eastAsia="黑体" w:cs="黑体"/>
          <w:color w:val="auto"/>
          <w:sz w:val="28"/>
          <w:szCs w:val="28"/>
        </w:rPr>
      </w:pPr>
      <w:r>
        <w:rPr>
          <w:rFonts w:hint="eastAsia" w:ascii="宋体" w:hAnsi="宋体" w:eastAsia="宋体" w:cs="宋体"/>
          <w:sz w:val="24"/>
          <w:szCs w:val="24"/>
        </w:rPr>
        <w:t>具体评分细则如下：</w:t>
      </w:r>
    </w:p>
    <w:tbl>
      <w:tblPr>
        <w:tblStyle w:val="34"/>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074"/>
        <w:gridCol w:w="1091"/>
        <w:gridCol w:w="6461"/>
        <w:gridCol w:w="861"/>
      </w:tblGrid>
      <w:tr w14:paraId="35B7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074" w:type="dxa"/>
            <w:tcBorders>
              <w:top w:val="single" w:color="auto" w:sz="4" w:space="0"/>
              <w:left w:val="single" w:color="auto" w:sz="4" w:space="0"/>
              <w:bottom w:val="single" w:color="auto" w:sz="4" w:space="0"/>
              <w:right w:val="single" w:color="auto" w:sz="4" w:space="0"/>
            </w:tcBorders>
            <w:vAlign w:val="center"/>
          </w:tcPr>
          <w:p w14:paraId="5E9F766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091" w:type="dxa"/>
            <w:tcBorders>
              <w:top w:val="single" w:color="auto" w:sz="4" w:space="0"/>
              <w:left w:val="single" w:color="auto" w:sz="4" w:space="0"/>
              <w:bottom w:val="single" w:color="auto" w:sz="4" w:space="0"/>
              <w:right w:val="single" w:color="auto" w:sz="4" w:space="0"/>
            </w:tcBorders>
            <w:vAlign w:val="center"/>
          </w:tcPr>
          <w:p w14:paraId="01BF3F2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6461" w:type="dxa"/>
            <w:tcBorders>
              <w:top w:val="single" w:color="auto" w:sz="4" w:space="0"/>
              <w:left w:val="single" w:color="auto" w:sz="4" w:space="0"/>
              <w:bottom w:val="single" w:color="auto" w:sz="4" w:space="0"/>
              <w:right w:val="single" w:color="auto" w:sz="4" w:space="0"/>
            </w:tcBorders>
            <w:vAlign w:val="center"/>
          </w:tcPr>
          <w:p w14:paraId="2C0C76F1">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861" w:type="dxa"/>
            <w:tcBorders>
              <w:top w:val="single" w:color="auto" w:sz="4" w:space="0"/>
              <w:left w:val="single" w:color="auto" w:sz="4" w:space="0"/>
              <w:bottom w:val="single" w:color="auto" w:sz="4" w:space="0"/>
              <w:right w:val="single" w:color="auto" w:sz="4" w:space="0"/>
            </w:tcBorders>
            <w:vAlign w:val="center"/>
          </w:tcPr>
          <w:p w14:paraId="2E7E922C">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4353A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46" w:hRule="atLeast"/>
          <w:jc w:val="center"/>
        </w:trPr>
        <w:tc>
          <w:tcPr>
            <w:tcW w:w="1074" w:type="dxa"/>
            <w:vMerge w:val="restart"/>
            <w:tcBorders>
              <w:top w:val="single" w:color="auto" w:sz="4" w:space="0"/>
              <w:left w:val="single" w:color="auto" w:sz="4" w:space="0"/>
              <w:right w:val="single" w:color="auto" w:sz="4" w:space="0"/>
            </w:tcBorders>
            <w:vAlign w:val="center"/>
          </w:tcPr>
          <w:p w14:paraId="440F9BFA">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b/>
                <w:bCs/>
                <w:sz w:val="24"/>
                <w:szCs w:val="24"/>
                <w:lang w:val="zh-CN"/>
              </w:rPr>
            </w:pPr>
            <w:r>
              <w:rPr>
                <w:rFonts w:hint="eastAsia" w:ascii="宋体" w:hAnsi="宋体" w:eastAsia="宋体" w:cs="宋体"/>
                <w:b/>
                <w:bCs/>
                <w:sz w:val="24"/>
                <w:szCs w:val="24"/>
                <w:lang w:val="zh-CN"/>
              </w:rPr>
              <w:t>技术标</w:t>
            </w:r>
          </w:p>
          <w:p w14:paraId="6EDF5DC1">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r>
              <w:rPr>
                <w:rFonts w:hint="eastAsia" w:ascii="宋体" w:hAnsi="宋体" w:cs="宋体"/>
                <w:b/>
                <w:bCs/>
                <w:sz w:val="24"/>
                <w:szCs w:val="24"/>
                <w:lang w:val="en-US" w:eastAsia="zh-CN"/>
              </w:rPr>
              <w:t>分</w:t>
            </w:r>
            <w:r>
              <w:rPr>
                <w:rFonts w:hint="eastAsia" w:ascii="宋体" w:hAnsi="宋体" w:eastAsia="宋体" w:cs="宋体"/>
                <w:b/>
                <w:bCs/>
                <w:sz w:val="24"/>
                <w:szCs w:val="24"/>
                <w:lang w:val="zh-CN"/>
              </w:rPr>
              <w:t>（</w:t>
            </w:r>
            <w:r>
              <w:rPr>
                <w:rFonts w:hint="eastAsia" w:ascii="宋体" w:hAnsi="宋体" w:cs="宋体"/>
                <w:b/>
                <w:bCs/>
                <w:sz w:val="24"/>
                <w:szCs w:val="24"/>
                <w:lang w:val="en-US" w:eastAsia="zh-CN"/>
              </w:rPr>
              <w:t>70</w:t>
            </w:r>
            <w:r>
              <w:rPr>
                <w:rFonts w:hint="eastAsia" w:ascii="宋体" w:hAnsi="宋体" w:eastAsia="宋体" w:cs="宋体"/>
                <w:b/>
                <w:bCs/>
                <w:sz w:val="24"/>
                <w:szCs w:val="24"/>
                <w:lang w:val="zh-CN"/>
              </w:rPr>
              <w:t>分）</w:t>
            </w: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7EE61A5D">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信用评级</w:t>
            </w:r>
          </w:p>
        </w:tc>
        <w:tc>
          <w:tcPr>
            <w:tcW w:w="6461" w:type="dxa"/>
            <w:tcBorders>
              <w:top w:val="single" w:color="auto" w:sz="4" w:space="0"/>
              <w:left w:val="single" w:color="auto" w:sz="4" w:space="0"/>
              <w:bottom w:val="single" w:color="auto" w:sz="4" w:space="0"/>
              <w:right w:val="single" w:color="auto" w:sz="4" w:space="0"/>
            </w:tcBorders>
            <w:shd w:val="clear" w:color="auto" w:fill="auto"/>
            <w:vAlign w:val="center"/>
          </w:tcPr>
          <w:p w14:paraId="61768767">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近三年在安徽电力交易中心获得过</w:t>
            </w:r>
            <w:r>
              <w:rPr>
                <w:rFonts w:hint="eastAsia" w:ascii="宋体" w:hAnsi="宋体" w:cs="宋体"/>
                <w:sz w:val="24"/>
                <w:szCs w:val="24"/>
                <w:lang w:val="en-US" w:eastAsia="zh-CN"/>
              </w:rPr>
              <w:t>AA</w:t>
            </w:r>
            <w:r>
              <w:rPr>
                <w:rFonts w:hint="eastAsia" w:ascii="宋体" w:hAnsi="宋体" w:eastAsia="宋体" w:cs="宋体"/>
                <w:sz w:val="24"/>
                <w:szCs w:val="24"/>
                <w:lang w:val="en-US" w:eastAsia="zh-CN"/>
              </w:rPr>
              <w:t>A</w:t>
            </w:r>
            <w:r>
              <w:rPr>
                <w:rFonts w:hint="eastAsia" w:ascii="宋体" w:hAnsi="宋体" w:cs="宋体"/>
                <w:sz w:val="24"/>
                <w:szCs w:val="24"/>
                <w:lang w:val="en-US" w:eastAsia="zh-CN"/>
              </w:rPr>
              <w:t>级评定得</w:t>
            </w:r>
            <w:r>
              <w:rPr>
                <w:rFonts w:hint="eastAsia" w:ascii="宋体" w:hAnsi="宋体" w:eastAsia="宋体" w:cs="宋体"/>
                <w:sz w:val="24"/>
                <w:szCs w:val="24"/>
                <w:lang w:val="en-US" w:eastAsia="zh-CN"/>
              </w:rPr>
              <w:t>15分，获得过</w:t>
            </w:r>
            <w:r>
              <w:rPr>
                <w:rFonts w:hint="eastAsia" w:ascii="宋体" w:hAnsi="宋体" w:cs="宋体"/>
                <w:sz w:val="24"/>
                <w:szCs w:val="24"/>
                <w:lang w:val="en-US" w:eastAsia="zh-CN"/>
              </w:rPr>
              <w:t>A</w:t>
            </w:r>
            <w:r>
              <w:rPr>
                <w:rFonts w:hint="eastAsia" w:ascii="宋体" w:hAnsi="宋体" w:eastAsia="宋体" w:cs="宋体"/>
                <w:sz w:val="24"/>
                <w:szCs w:val="24"/>
                <w:lang w:val="en-US" w:eastAsia="zh-CN"/>
              </w:rPr>
              <w:t>A</w:t>
            </w:r>
            <w:r>
              <w:rPr>
                <w:rFonts w:hint="eastAsia" w:ascii="宋体" w:hAnsi="宋体" w:cs="宋体"/>
                <w:sz w:val="24"/>
                <w:szCs w:val="24"/>
                <w:lang w:val="en-US" w:eastAsia="zh-CN"/>
              </w:rPr>
              <w:t>级评定得</w:t>
            </w:r>
            <w:r>
              <w:rPr>
                <w:rFonts w:hint="eastAsia" w:ascii="宋体" w:hAnsi="宋体" w:eastAsia="宋体" w:cs="宋体"/>
                <w:sz w:val="24"/>
                <w:szCs w:val="24"/>
                <w:lang w:val="en-US" w:eastAsia="zh-CN"/>
              </w:rPr>
              <w:t>10分，获得过A</w:t>
            </w:r>
            <w:r>
              <w:rPr>
                <w:rFonts w:hint="eastAsia" w:ascii="宋体" w:hAnsi="宋体" w:cs="宋体"/>
                <w:sz w:val="24"/>
                <w:szCs w:val="24"/>
                <w:lang w:val="en-US" w:eastAsia="zh-CN"/>
              </w:rPr>
              <w:t>级评定得</w:t>
            </w:r>
            <w:r>
              <w:rPr>
                <w:rFonts w:hint="eastAsia" w:ascii="宋体" w:hAnsi="宋体" w:eastAsia="宋体" w:cs="宋体"/>
                <w:sz w:val="24"/>
                <w:szCs w:val="24"/>
                <w:lang w:val="en-US" w:eastAsia="zh-CN"/>
              </w:rPr>
              <w:t>5分，</w:t>
            </w:r>
            <w:r>
              <w:rPr>
                <w:rFonts w:hint="eastAsia" w:ascii="宋体" w:hAnsi="宋体" w:cs="宋体"/>
                <w:sz w:val="24"/>
                <w:szCs w:val="24"/>
                <w:lang w:val="en-US" w:eastAsia="zh-CN"/>
              </w:rPr>
              <w:t>无</w:t>
            </w:r>
            <w:r>
              <w:rPr>
                <w:rFonts w:hint="eastAsia" w:ascii="宋体" w:hAnsi="宋体" w:eastAsia="宋体" w:cs="宋体"/>
                <w:sz w:val="24"/>
                <w:szCs w:val="24"/>
                <w:lang w:val="en-US" w:eastAsia="zh-CN"/>
              </w:rPr>
              <w:t>评级</w:t>
            </w:r>
            <w:r>
              <w:rPr>
                <w:rFonts w:hint="eastAsia" w:ascii="宋体" w:hAnsi="宋体" w:cs="宋体"/>
                <w:sz w:val="24"/>
                <w:szCs w:val="24"/>
                <w:lang w:val="en-US" w:eastAsia="zh-CN"/>
              </w:rPr>
              <w:t>得</w:t>
            </w:r>
            <w:r>
              <w:rPr>
                <w:rFonts w:hint="eastAsia" w:ascii="宋体" w:hAnsi="宋体" w:eastAsia="宋体" w:cs="宋体"/>
                <w:sz w:val="24"/>
                <w:szCs w:val="24"/>
                <w:lang w:val="en-US" w:eastAsia="zh-CN"/>
              </w:rPr>
              <w:t>0分。</w:t>
            </w:r>
          </w:p>
          <w:p w14:paraId="50484538">
            <w:pPr>
              <w:pStyle w:val="2"/>
              <w:ind w:left="0" w:leftChars="0" w:firstLine="0" w:firstLineChars="0"/>
              <w:jc w:val="left"/>
              <w:rPr>
                <w:rFonts w:hint="eastAsia"/>
                <w:lang w:val="en-US" w:eastAsia="zh-CN"/>
              </w:rPr>
            </w:pPr>
            <w:r>
              <w:rPr>
                <w:rFonts w:hint="eastAsia"/>
                <w:b/>
                <w:bCs/>
                <w:lang w:val="en-US" w:eastAsia="zh-CN"/>
              </w:rPr>
              <w:t>注：响应文件中需提供有效证明材料，未提供不得分。</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74247225">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r>
      <w:tr w14:paraId="27F2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46" w:hRule="atLeast"/>
          <w:jc w:val="center"/>
        </w:trPr>
        <w:tc>
          <w:tcPr>
            <w:tcW w:w="1074" w:type="dxa"/>
            <w:vMerge w:val="continue"/>
            <w:tcBorders>
              <w:left w:val="single" w:color="auto" w:sz="4" w:space="0"/>
              <w:right w:val="single" w:color="auto" w:sz="4" w:space="0"/>
            </w:tcBorders>
            <w:vAlign w:val="center"/>
          </w:tcPr>
          <w:p w14:paraId="49B58648">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091" w:type="dxa"/>
            <w:tcBorders>
              <w:top w:val="single" w:color="auto" w:sz="4" w:space="0"/>
              <w:left w:val="single" w:color="auto" w:sz="4" w:space="0"/>
              <w:bottom w:val="single" w:color="auto" w:sz="4" w:space="0"/>
              <w:right w:val="single" w:color="auto" w:sz="4" w:space="0"/>
            </w:tcBorders>
            <w:shd w:val="clear" w:color="auto" w:fill="auto"/>
            <w:vAlign w:val="center"/>
          </w:tcPr>
          <w:p w14:paraId="55955D39">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交易规模</w:t>
            </w:r>
          </w:p>
        </w:tc>
        <w:tc>
          <w:tcPr>
            <w:tcW w:w="6461" w:type="dxa"/>
            <w:tcBorders>
              <w:top w:val="single" w:color="auto" w:sz="4" w:space="0"/>
              <w:left w:val="single" w:color="auto" w:sz="4" w:space="0"/>
              <w:bottom w:val="single" w:color="auto" w:sz="4" w:space="0"/>
              <w:right w:val="single" w:color="auto" w:sz="4" w:space="0"/>
            </w:tcBorders>
            <w:shd w:val="clear" w:color="auto" w:fill="auto"/>
            <w:vAlign w:val="center"/>
          </w:tcPr>
          <w:p w14:paraId="1EE45168">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供应商近三年任一年度电力</w:t>
            </w:r>
            <w:r>
              <w:rPr>
                <w:rFonts w:hint="eastAsia" w:ascii="宋体" w:hAnsi="宋体" w:eastAsia="宋体" w:cs="宋体"/>
                <w:sz w:val="24"/>
                <w:szCs w:val="24"/>
                <w:lang w:val="en-US" w:eastAsia="zh-CN"/>
              </w:rPr>
              <w:t>交易规模≥60亿度得15分，30-60亿度得10分，10-30亿度得</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分，10亿度以下得0分（以</w:t>
            </w:r>
            <w:r>
              <w:rPr>
                <w:rFonts w:hint="eastAsia" w:ascii="宋体" w:hAnsi="宋体" w:cs="宋体"/>
                <w:sz w:val="24"/>
                <w:szCs w:val="24"/>
                <w:lang w:val="en-US" w:eastAsia="zh-CN"/>
              </w:rPr>
              <w:t>安徽</w:t>
            </w:r>
            <w:r>
              <w:rPr>
                <w:rFonts w:hint="eastAsia" w:ascii="宋体" w:hAnsi="宋体" w:eastAsia="宋体" w:cs="宋体"/>
                <w:sz w:val="24"/>
                <w:szCs w:val="24"/>
                <w:lang w:val="en-US" w:eastAsia="zh-CN"/>
              </w:rPr>
              <w:t>电力交易</w:t>
            </w:r>
            <w:r>
              <w:rPr>
                <w:rFonts w:hint="eastAsia" w:ascii="宋体" w:hAnsi="宋体" w:cs="宋体"/>
                <w:sz w:val="24"/>
                <w:szCs w:val="24"/>
                <w:lang w:val="en-US" w:eastAsia="zh-CN"/>
              </w:rPr>
              <w:t>中心交易</w:t>
            </w:r>
            <w:r>
              <w:rPr>
                <w:rFonts w:hint="eastAsia" w:ascii="宋体" w:hAnsi="宋体" w:eastAsia="宋体" w:cs="宋体"/>
                <w:sz w:val="24"/>
                <w:szCs w:val="24"/>
                <w:lang w:val="en-US" w:eastAsia="zh-CN"/>
              </w:rPr>
              <w:t>平台实际交易数据为准）。</w:t>
            </w:r>
          </w:p>
          <w:p w14:paraId="15DB457C">
            <w:pPr>
              <w:pStyle w:val="2"/>
              <w:ind w:left="0" w:leftChars="0" w:firstLine="0" w:firstLineChars="0"/>
              <w:jc w:val="left"/>
              <w:rPr>
                <w:rFonts w:hint="default"/>
                <w:lang w:val="en-US" w:eastAsia="zh-CN"/>
              </w:rPr>
            </w:pPr>
            <w:r>
              <w:rPr>
                <w:rFonts w:hint="eastAsia" w:ascii="Times New Roman" w:eastAsia="宋体"/>
                <w:b/>
                <w:bCs/>
                <w:lang w:val="en-US" w:eastAsia="zh-CN"/>
              </w:rPr>
              <w:t>注：响应文件中需提供有效证明材料，未提供不得分。</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0A5BE99B">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5</w:t>
            </w:r>
          </w:p>
        </w:tc>
      </w:tr>
      <w:tr w14:paraId="7ECA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46" w:hRule="atLeast"/>
          <w:jc w:val="center"/>
        </w:trPr>
        <w:tc>
          <w:tcPr>
            <w:tcW w:w="1074" w:type="dxa"/>
            <w:vMerge w:val="continue"/>
            <w:tcBorders>
              <w:left w:val="single" w:color="auto" w:sz="4" w:space="0"/>
              <w:right w:val="single" w:color="auto" w:sz="4" w:space="0"/>
            </w:tcBorders>
            <w:vAlign w:val="center"/>
          </w:tcPr>
          <w:p w14:paraId="1033F7B9">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091" w:type="dxa"/>
            <w:tcBorders>
              <w:top w:val="single" w:color="auto" w:sz="4" w:space="0"/>
              <w:left w:val="single" w:color="auto" w:sz="4" w:space="0"/>
              <w:right w:val="single" w:color="auto" w:sz="4" w:space="0"/>
            </w:tcBorders>
            <w:shd w:val="clear" w:color="auto" w:fill="auto"/>
            <w:vAlign w:val="center"/>
          </w:tcPr>
          <w:p w14:paraId="37EA7C5A">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发电侧</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资源</w:t>
            </w:r>
          </w:p>
        </w:tc>
        <w:tc>
          <w:tcPr>
            <w:tcW w:w="6461" w:type="dxa"/>
            <w:tcBorders>
              <w:top w:val="single" w:color="auto" w:sz="4" w:space="0"/>
              <w:left w:val="single" w:color="auto" w:sz="4" w:space="0"/>
              <w:right w:val="single" w:color="auto" w:sz="4" w:space="0"/>
            </w:tcBorders>
            <w:shd w:val="clear" w:color="auto" w:fill="auto"/>
            <w:vAlign w:val="center"/>
          </w:tcPr>
          <w:p w14:paraId="2D269FC8">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供应商提供发电能力证明材料的</w:t>
            </w:r>
            <w:r>
              <w:rPr>
                <w:rFonts w:hint="eastAsia" w:ascii="宋体" w:hAnsi="宋体" w:eastAsia="宋体" w:cs="宋体"/>
                <w:sz w:val="24"/>
                <w:szCs w:val="24"/>
                <w:lang w:val="en-US" w:eastAsia="zh-CN"/>
              </w:rPr>
              <w:t>售电公司得</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未提供发电能力证明材料的</w:t>
            </w:r>
            <w:r>
              <w:rPr>
                <w:rFonts w:hint="eastAsia" w:ascii="宋体" w:hAnsi="宋体" w:eastAsia="宋体" w:cs="宋体"/>
                <w:sz w:val="24"/>
                <w:szCs w:val="24"/>
                <w:lang w:val="en-US" w:eastAsia="zh-CN"/>
              </w:rPr>
              <w:t>售电公司得</w:t>
            </w:r>
            <w:r>
              <w:rPr>
                <w:rFonts w:hint="eastAsia" w:ascii="宋体" w:hAnsi="宋体" w:cs="宋体"/>
                <w:sz w:val="24"/>
                <w:szCs w:val="24"/>
                <w:lang w:val="en-US" w:eastAsia="zh-CN"/>
              </w:rPr>
              <w:t>0</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w:t>
            </w:r>
          </w:p>
          <w:p w14:paraId="21DC6ECB">
            <w:pPr>
              <w:pStyle w:val="2"/>
              <w:ind w:left="0" w:leftChars="0" w:firstLine="0" w:firstLineChars="0"/>
              <w:rPr>
                <w:rFonts w:hint="eastAsia" w:ascii="宋体" w:hAnsi="宋体" w:cs="宋体"/>
                <w:sz w:val="24"/>
                <w:szCs w:val="24"/>
                <w:lang w:val="en-US" w:eastAsia="zh-CN"/>
              </w:rPr>
            </w:pPr>
            <w:r>
              <w:rPr>
                <w:rFonts w:hint="eastAsia" w:ascii="Times New Roman" w:eastAsia="宋体"/>
                <w:b/>
                <w:bCs/>
                <w:lang w:val="en-US" w:eastAsia="zh-CN"/>
              </w:rPr>
              <w:t>注：响应文件中需提供有效证明材料，未提供不得分。</w:t>
            </w:r>
          </w:p>
        </w:tc>
        <w:tc>
          <w:tcPr>
            <w:tcW w:w="861" w:type="dxa"/>
            <w:tcBorders>
              <w:top w:val="single" w:color="auto" w:sz="4" w:space="0"/>
              <w:left w:val="single" w:color="auto" w:sz="4" w:space="0"/>
              <w:right w:val="single" w:color="auto" w:sz="4" w:space="0"/>
            </w:tcBorders>
            <w:shd w:val="clear" w:color="auto" w:fill="auto"/>
            <w:vAlign w:val="center"/>
          </w:tcPr>
          <w:p w14:paraId="50941450">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0-5</w:t>
            </w:r>
          </w:p>
        </w:tc>
      </w:tr>
      <w:tr w14:paraId="24E1C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46" w:hRule="atLeast"/>
          <w:jc w:val="center"/>
        </w:trPr>
        <w:tc>
          <w:tcPr>
            <w:tcW w:w="1074" w:type="dxa"/>
            <w:vMerge w:val="continue"/>
            <w:tcBorders>
              <w:left w:val="single" w:color="auto" w:sz="4" w:space="0"/>
              <w:right w:val="single" w:color="auto" w:sz="4" w:space="0"/>
            </w:tcBorders>
            <w:vAlign w:val="center"/>
          </w:tcPr>
          <w:p w14:paraId="5144BA1F">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091" w:type="dxa"/>
            <w:tcBorders>
              <w:top w:val="single" w:color="auto" w:sz="4" w:space="0"/>
              <w:left w:val="single" w:color="auto" w:sz="4" w:space="0"/>
              <w:right w:val="single" w:color="auto" w:sz="4" w:space="0"/>
            </w:tcBorders>
            <w:shd w:val="clear" w:color="auto" w:fill="auto"/>
            <w:vAlign w:val="center"/>
          </w:tcPr>
          <w:p w14:paraId="5E4EA12E">
            <w:pPr>
              <w:keepNext w:val="0"/>
              <w:keepLines w:val="0"/>
              <w:pageBreakBefore w:val="0"/>
              <w:widowControl/>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业绩证明</w:t>
            </w:r>
          </w:p>
        </w:tc>
        <w:tc>
          <w:tcPr>
            <w:tcW w:w="6461" w:type="dxa"/>
            <w:tcBorders>
              <w:top w:val="single" w:color="auto" w:sz="4" w:space="0"/>
              <w:left w:val="single" w:color="auto" w:sz="4" w:space="0"/>
              <w:right w:val="single" w:color="auto" w:sz="4" w:space="0"/>
            </w:tcBorders>
            <w:shd w:val="clear" w:color="auto" w:fill="auto"/>
            <w:vAlign w:val="center"/>
          </w:tcPr>
          <w:p w14:paraId="5DC055DC">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近三年与同体量及以上零售用户电力交易合同，</w:t>
            </w:r>
            <w:r>
              <w:rPr>
                <w:rFonts w:hint="eastAsia" w:ascii="宋体" w:hAnsi="宋体" w:cs="宋体"/>
                <w:sz w:val="24"/>
                <w:szCs w:val="24"/>
                <w:lang w:val="en-US" w:eastAsia="zh-CN"/>
              </w:rPr>
              <w:t>每提供一个</w:t>
            </w:r>
            <w:r>
              <w:rPr>
                <w:rFonts w:hint="eastAsia" w:ascii="宋体" w:hAnsi="宋体" w:eastAsia="宋体" w:cs="宋体"/>
                <w:sz w:val="24"/>
                <w:szCs w:val="24"/>
                <w:lang w:val="en-US" w:eastAsia="zh-CN"/>
              </w:rPr>
              <w:t>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最高得15</w:t>
            </w:r>
            <w:r>
              <w:rPr>
                <w:rFonts w:hint="eastAsia" w:ascii="宋体" w:hAnsi="宋体" w:eastAsia="宋体" w:cs="宋体"/>
                <w:sz w:val="24"/>
                <w:szCs w:val="24"/>
                <w:lang w:val="en-US" w:eastAsia="zh-CN"/>
              </w:rPr>
              <w:t>分</w:t>
            </w:r>
            <w:r>
              <w:rPr>
                <w:rFonts w:hint="eastAsia" w:ascii="宋体" w:hAnsi="宋体" w:cs="宋体"/>
                <w:sz w:val="24"/>
                <w:szCs w:val="24"/>
                <w:lang w:val="en-US" w:eastAsia="zh-CN"/>
              </w:rPr>
              <w:t>，未提供得0分</w:t>
            </w:r>
            <w:r>
              <w:rPr>
                <w:rFonts w:hint="eastAsia" w:ascii="宋体" w:hAnsi="宋体" w:eastAsia="宋体" w:cs="宋体"/>
                <w:sz w:val="24"/>
                <w:szCs w:val="24"/>
                <w:lang w:val="en-US" w:eastAsia="zh-CN"/>
              </w:rPr>
              <w:t>。</w:t>
            </w:r>
          </w:p>
          <w:p w14:paraId="3320E1F9">
            <w:pPr>
              <w:keepNext w:val="0"/>
              <w:keepLines w:val="0"/>
              <w:pageBreakBefore w:val="0"/>
              <w:widowControl/>
              <w:kinsoku/>
              <w:wordWrap/>
              <w:overflowPunct/>
              <w:topLinePunct w:val="0"/>
              <w:autoSpaceDE/>
              <w:autoSpaceDN/>
              <w:bidi w:val="0"/>
              <w:spacing w:line="360" w:lineRule="auto"/>
              <w:jc w:val="left"/>
              <w:textAlignment w:val="auto"/>
              <w:rPr>
                <w:rFonts w:hint="eastAsia"/>
                <w:lang w:val="en-US" w:eastAsia="zh-CN"/>
              </w:rPr>
            </w:pPr>
            <w:r>
              <w:rPr>
                <w:rFonts w:hint="eastAsia" w:ascii="宋体" w:hAnsi="宋体" w:cs="宋体"/>
                <w:b/>
                <w:bCs/>
                <w:sz w:val="24"/>
                <w:szCs w:val="24"/>
                <w:lang w:val="en-US" w:eastAsia="zh-CN"/>
              </w:rPr>
              <w:t>注：</w:t>
            </w:r>
            <w:r>
              <w:rPr>
                <w:rFonts w:hint="eastAsia" w:ascii="宋体" w:hAnsi="宋体" w:eastAsia="宋体" w:cs="宋体"/>
                <w:b/>
                <w:bCs/>
                <w:sz w:val="24"/>
                <w:szCs w:val="24"/>
                <w:lang w:val="en-US" w:eastAsia="zh-CN"/>
              </w:rPr>
              <w:t>响应文件中须提合同扫描件作为证明材料，未提供不得分</w:t>
            </w:r>
            <w:r>
              <w:rPr>
                <w:rFonts w:hint="eastAsia" w:ascii="宋体" w:hAnsi="宋体" w:cs="宋体"/>
                <w:b/>
                <w:bCs/>
                <w:sz w:val="24"/>
                <w:szCs w:val="24"/>
                <w:lang w:val="en-US" w:eastAsia="zh-CN"/>
              </w:rPr>
              <w:t>。</w:t>
            </w:r>
          </w:p>
        </w:tc>
        <w:tc>
          <w:tcPr>
            <w:tcW w:w="861" w:type="dxa"/>
            <w:tcBorders>
              <w:top w:val="single" w:color="auto" w:sz="4" w:space="0"/>
              <w:left w:val="single" w:color="auto" w:sz="4" w:space="0"/>
              <w:right w:val="single" w:color="auto" w:sz="4" w:space="0"/>
            </w:tcBorders>
            <w:shd w:val="clear" w:color="auto" w:fill="auto"/>
            <w:vAlign w:val="center"/>
          </w:tcPr>
          <w:p w14:paraId="0EA73D21">
            <w:pPr>
              <w:keepNext w:val="0"/>
              <w:keepLines w:val="0"/>
              <w:pageBreakBefore w:val="0"/>
              <w:widowControl/>
              <w:kinsoku/>
              <w:wordWrap/>
              <w:overflowPunct/>
              <w:topLinePunct w:val="0"/>
              <w:autoSpaceDE/>
              <w:autoSpaceDN/>
              <w:bidi w:val="0"/>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0-15</w:t>
            </w:r>
          </w:p>
        </w:tc>
      </w:tr>
      <w:tr w14:paraId="3FC2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46" w:hRule="atLeast"/>
          <w:jc w:val="center"/>
        </w:trPr>
        <w:tc>
          <w:tcPr>
            <w:tcW w:w="1074" w:type="dxa"/>
            <w:vMerge w:val="continue"/>
            <w:tcBorders>
              <w:left w:val="single" w:color="auto" w:sz="4" w:space="0"/>
              <w:right w:val="single" w:color="auto" w:sz="4" w:space="0"/>
            </w:tcBorders>
            <w:vAlign w:val="center"/>
          </w:tcPr>
          <w:p w14:paraId="2F6344A7">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091" w:type="dxa"/>
            <w:tcBorders>
              <w:top w:val="single" w:color="auto" w:sz="4" w:space="0"/>
              <w:left w:val="single" w:color="auto" w:sz="4" w:space="0"/>
              <w:right w:val="single" w:color="auto" w:sz="4" w:space="0"/>
            </w:tcBorders>
            <w:shd w:val="clear" w:color="auto" w:fill="auto"/>
            <w:vAlign w:val="center"/>
          </w:tcPr>
          <w:p w14:paraId="5F50F800">
            <w:pPr>
              <w:keepNext w:val="0"/>
              <w:keepLines w:val="0"/>
              <w:pageBreakBefore w:val="0"/>
              <w:widowControl/>
              <w:kinsoku/>
              <w:wordWrap/>
              <w:overflowPunct/>
              <w:topLinePunct w:val="0"/>
              <w:autoSpaceDE/>
              <w:autoSpaceDN/>
              <w:bidi w:val="0"/>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电力交易</w:t>
            </w:r>
            <w:r>
              <w:rPr>
                <w:rFonts w:hint="eastAsia" w:ascii="宋体" w:hAnsi="宋体" w:eastAsia="宋体" w:cs="宋体"/>
                <w:sz w:val="24"/>
                <w:szCs w:val="24"/>
                <w:lang w:val="en-US" w:eastAsia="zh-CN"/>
              </w:rPr>
              <w:t>履约保</w:t>
            </w:r>
            <w:r>
              <w:rPr>
                <w:rFonts w:hint="eastAsia" w:ascii="宋体" w:hAnsi="宋体" w:cs="宋体"/>
                <w:sz w:val="24"/>
                <w:szCs w:val="24"/>
                <w:lang w:val="en-US" w:eastAsia="zh-CN"/>
              </w:rPr>
              <w:t>证保险单保险金额</w:t>
            </w:r>
          </w:p>
        </w:tc>
        <w:tc>
          <w:tcPr>
            <w:tcW w:w="6461" w:type="dxa"/>
            <w:tcBorders>
              <w:top w:val="single" w:color="auto" w:sz="4" w:space="0"/>
              <w:left w:val="single" w:color="auto" w:sz="4" w:space="0"/>
              <w:right w:val="single" w:color="auto" w:sz="4" w:space="0"/>
            </w:tcBorders>
            <w:shd w:val="clear" w:color="auto" w:fill="auto"/>
            <w:vAlign w:val="center"/>
          </w:tcPr>
          <w:p w14:paraId="60FAA4AA">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电力交易</w:t>
            </w:r>
            <w:r>
              <w:rPr>
                <w:rFonts w:hint="eastAsia" w:ascii="宋体" w:hAnsi="宋体" w:eastAsia="宋体" w:cs="宋体"/>
                <w:sz w:val="24"/>
                <w:szCs w:val="24"/>
                <w:lang w:val="en-US" w:eastAsia="zh-CN"/>
              </w:rPr>
              <w:t>履约保</w:t>
            </w:r>
            <w:r>
              <w:rPr>
                <w:rFonts w:hint="eastAsia" w:ascii="宋体" w:hAnsi="宋体" w:cs="宋体"/>
                <w:sz w:val="24"/>
                <w:szCs w:val="24"/>
                <w:lang w:val="en-US" w:eastAsia="zh-CN"/>
              </w:rPr>
              <w:t>证保险单保险金额</w:t>
            </w:r>
            <w:r>
              <w:rPr>
                <w:rFonts w:hint="eastAsia" w:ascii="宋体" w:hAnsi="宋体" w:eastAsia="宋体" w:cs="宋体"/>
                <w:sz w:val="24"/>
                <w:szCs w:val="24"/>
                <w:lang w:val="en-US" w:eastAsia="zh-CN"/>
              </w:rPr>
              <w:t>，超过8000万元(含)得10分，5000万元(含)-8000万元得8分，3000万元(含)-5000万元得5分，低于3000万得0分。</w:t>
            </w:r>
          </w:p>
          <w:p w14:paraId="2CA93C64">
            <w:pPr>
              <w:pStyle w:val="2"/>
              <w:ind w:left="0" w:leftChars="0" w:firstLine="0" w:firstLineChars="0"/>
              <w:rPr>
                <w:rFonts w:hint="eastAsia"/>
                <w:lang w:val="en-US" w:eastAsia="zh-CN"/>
              </w:rPr>
            </w:pPr>
            <w:r>
              <w:rPr>
                <w:rFonts w:hint="eastAsia" w:ascii="Times New Roman" w:eastAsia="宋体"/>
                <w:b/>
                <w:bCs/>
                <w:lang w:val="en-US" w:eastAsia="zh-CN"/>
              </w:rPr>
              <w:t>注：响应文件中需提供有效证明材料，未提供不得分。</w:t>
            </w:r>
          </w:p>
        </w:tc>
        <w:tc>
          <w:tcPr>
            <w:tcW w:w="861" w:type="dxa"/>
            <w:tcBorders>
              <w:top w:val="single" w:color="auto" w:sz="4" w:space="0"/>
              <w:left w:val="single" w:color="auto" w:sz="4" w:space="0"/>
              <w:right w:val="single" w:color="auto" w:sz="4" w:space="0"/>
            </w:tcBorders>
            <w:shd w:val="clear" w:color="auto" w:fill="auto"/>
            <w:vAlign w:val="center"/>
          </w:tcPr>
          <w:p w14:paraId="1D1BAA55">
            <w:pPr>
              <w:keepNext w:val="0"/>
              <w:keepLines w:val="0"/>
              <w:pageBreakBefore w:val="0"/>
              <w:widowControl/>
              <w:kinsoku/>
              <w:wordWrap/>
              <w:overflowPunct/>
              <w:topLinePunct w:val="0"/>
              <w:autoSpaceDE/>
              <w:autoSpaceDN/>
              <w:bidi w:val="0"/>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0-</w:t>
            </w:r>
            <w:r>
              <w:rPr>
                <w:rFonts w:hint="eastAsia" w:ascii="宋体" w:hAnsi="宋体" w:eastAsia="宋体" w:cs="宋体"/>
                <w:sz w:val="24"/>
                <w:szCs w:val="24"/>
                <w:lang w:val="en-US" w:eastAsia="zh-CN"/>
              </w:rPr>
              <w:t>10</w:t>
            </w:r>
          </w:p>
        </w:tc>
      </w:tr>
      <w:tr w14:paraId="574C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646" w:hRule="atLeast"/>
          <w:jc w:val="center"/>
        </w:trPr>
        <w:tc>
          <w:tcPr>
            <w:tcW w:w="1074" w:type="dxa"/>
            <w:vMerge w:val="continue"/>
            <w:tcBorders>
              <w:left w:val="single" w:color="auto" w:sz="4" w:space="0"/>
              <w:right w:val="single" w:color="auto" w:sz="4" w:space="0"/>
            </w:tcBorders>
            <w:vAlign w:val="center"/>
          </w:tcPr>
          <w:p w14:paraId="16CF881D">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lang w:val="zh-CN"/>
              </w:rPr>
            </w:pPr>
          </w:p>
        </w:tc>
        <w:tc>
          <w:tcPr>
            <w:tcW w:w="1091" w:type="dxa"/>
            <w:tcBorders>
              <w:left w:val="single" w:color="auto" w:sz="4" w:space="0"/>
              <w:right w:val="single" w:color="auto" w:sz="4" w:space="0"/>
            </w:tcBorders>
            <w:shd w:val="clear" w:color="auto" w:fill="auto"/>
            <w:vAlign w:val="center"/>
          </w:tcPr>
          <w:p w14:paraId="2130C07B">
            <w:pPr>
              <w:keepNext w:val="0"/>
              <w:keepLines w:val="0"/>
              <w:pageBreakBefore w:val="0"/>
              <w:widowControl/>
              <w:kinsoku/>
              <w:wordWrap/>
              <w:overflowPunct/>
              <w:topLinePunct w:val="0"/>
              <w:autoSpaceDE/>
              <w:autoSpaceDN/>
              <w:bidi w:val="0"/>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售后</w:t>
            </w:r>
            <w:r>
              <w:rPr>
                <w:rFonts w:hint="eastAsia" w:ascii="宋体" w:hAnsi="宋体" w:eastAsia="宋体" w:cs="宋体"/>
                <w:sz w:val="24"/>
                <w:szCs w:val="24"/>
                <w:lang w:val="en-US" w:eastAsia="zh-CN"/>
              </w:rPr>
              <w:t>服务</w:t>
            </w:r>
            <w:r>
              <w:rPr>
                <w:rFonts w:hint="eastAsia" w:ascii="宋体" w:hAnsi="宋体" w:cs="宋体"/>
                <w:sz w:val="24"/>
                <w:szCs w:val="24"/>
                <w:lang w:val="en-US" w:eastAsia="zh-CN"/>
              </w:rPr>
              <w:t>方案</w:t>
            </w:r>
          </w:p>
        </w:tc>
        <w:tc>
          <w:tcPr>
            <w:tcW w:w="6461" w:type="dxa"/>
            <w:tcBorders>
              <w:top w:val="single" w:color="auto" w:sz="4" w:space="0"/>
              <w:left w:val="single" w:color="auto" w:sz="4" w:space="0"/>
              <w:bottom w:val="single" w:color="auto" w:sz="4" w:space="0"/>
              <w:right w:val="single" w:color="auto" w:sz="4" w:space="0"/>
            </w:tcBorders>
            <w:shd w:val="clear" w:color="auto" w:fill="auto"/>
            <w:vAlign w:val="center"/>
          </w:tcPr>
          <w:p w14:paraId="37D22080">
            <w:pPr>
              <w:keepNext w:val="0"/>
              <w:keepLines w:val="0"/>
              <w:pageBreakBefore w:val="0"/>
              <w:widowControl w:val="0"/>
              <w:kinsoku/>
              <w:wordWrap/>
              <w:overflowPunct/>
              <w:topLinePunct w:val="0"/>
              <w:autoSpaceDE/>
              <w:autoSpaceDN/>
              <w:bidi w:val="0"/>
              <w:adjustRightInd w:val="0"/>
              <w:snapToGrid w:val="0"/>
              <w:spacing w:after="0" w:afterLines="0" w:line="312" w:lineRule="auto"/>
              <w:ind w:firstLine="0" w:firstLineChars="0"/>
              <w:jc w:val="left"/>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根据供应商针对本项目提供的售后服务保障方案</w:t>
            </w:r>
            <w:bookmarkStart w:id="42" w:name="OLE_LINK13"/>
            <w:r>
              <w:rPr>
                <w:rFonts w:hint="eastAsia" w:ascii="宋体" w:hAnsi="宋体" w:eastAsia="宋体" w:cs="宋体"/>
                <w:snapToGrid w:val="0"/>
                <w:kern w:val="0"/>
                <w:sz w:val="24"/>
                <w:szCs w:val="24"/>
                <w:lang w:val="en-US" w:eastAsia="zh-CN" w:bidi="ar-SA"/>
              </w:rPr>
              <w:t>进行综合评分</w:t>
            </w:r>
            <w:bookmarkEnd w:id="42"/>
            <w:r>
              <w:rPr>
                <w:rFonts w:hint="eastAsia" w:ascii="宋体" w:hAnsi="宋体" w:cs="宋体"/>
                <w:snapToGrid w:val="0"/>
                <w:kern w:val="0"/>
                <w:sz w:val="24"/>
                <w:szCs w:val="24"/>
                <w:lang w:val="en-US" w:eastAsia="zh-CN" w:bidi="ar-SA"/>
              </w:rPr>
              <w:t>。</w:t>
            </w:r>
          </w:p>
          <w:p w14:paraId="482865C2">
            <w:pPr>
              <w:keepNext w:val="0"/>
              <w:keepLines w:val="0"/>
              <w:pageBreakBefore w:val="0"/>
              <w:widowControl w:val="0"/>
              <w:kinsoku/>
              <w:wordWrap/>
              <w:overflowPunct/>
              <w:topLinePunct w:val="0"/>
              <w:autoSpaceDE/>
              <w:autoSpaceDN/>
              <w:bidi w:val="0"/>
              <w:adjustRightInd w:val="0"/>
              <w:snapToGrid w:val="0"/>
              <w:spacing w:after="0" w:afterLines="0" w:line="312" w:lineRule="auto"/>
              <w:ind w:firstLine="0" w:firstLineChars="0"/>
              <w:jc w:val="left"/>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1、对本项目特点和难点理解准确，方案优于本项目招标需求，完整详细，可行性、实用性、针对性强，得</w:t>
            </w:r>
            <w:r>
              <w:rPr>
                <w:rFonts w:hint="eastAsia" w:ascii="宋体" w:hAnsi="宋体" w:cs="宋体"/>
                <w:snapToGrid w:val="0"/>
                <w:kern w:val="0"/>
                <w:sz w:val="24"/>
                <w:szCs w:val="24"/>
                <w:lang w:val="en-US" w:eastAsia="zh-CN" w:bidi="ar-SA"/>
              </w:rPr>
              <w:t>10</w:t>
            </w:r>
            <w:r>
              <w:rPr>
                <w:rFonts w:hint="eastAsia" w:ascii="宋体" w:hAnsi="宋体" w:eastAsia="宋体" w:cs="宋体"/>
                <w:snapToGrid w:val="0"/>
                <w:kern w:val="0"/>
                <w:sz w:val="24"/>
                <w:szCs w:val="24"/>
                <w:lang w:val="en-US" w:eastAsia="zh-CN" w:bidi="ar-SA"/>
              </w:rPr>
              <w:t>分；</w:t>
            </w:r>
          </w:p>
          <w:p w14:paraId="783E9FC8">
            <w:pPr>
              <w:keepNext w:val="0"/>
              <w:keepLines w:val="0"/>
              <w:pageBreakBefore w:val="0"/>
              <w:widowControl w:val="0"/>
              <w:kinsoku/>
              <w:wordWrap/>
              <w:overflowPunct/>
              <w:topLinePunct w:val="0"/>
              <w:autoSpaceDE/>
              <w:autoSpaceDN/>
              <w:bidi w:val="0"/>
              <w:adjustRightInd w:val="0"/>
              <w:snapToGrid w:val="0"/>
              <w:spacing w:after="0" w:afterLines="0" w:line="312" w:lineRule="auto"/>
              <w:ind w:firstLine="0" w:firstLineChars="0"/>
              <w:jc w:val="left"/>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2、对本项目特点和难点理解基本准确，方案适合本项目招标需求，完整详细，具有可行性、实用性和针对性，得</w:t>
            </w:r>
            <w:r>
              <w:rPr>
                <w:rFonts w:hint="eastAsia" w:ascii="宋体" w:hAnsi="宋体" w:cs="宋体"/>
                <w:snapToGrid w:val="0"/>
                <w:kern w:val="0"/>
                <w:sz w:val="24"/>
                <w:szCs w:val="24"/>
                <w:lang w:val="en-US" w:eastAsia="zh-CN" w:bidi="ar-SA"/>
              </w:rPr>
              <w:t>5</w:t>
            </w:r>
            <w:r>
              <w:rPr>
                <w:rFonts w:hint="eastAsia" w:ascii="宋体" w:hAnsi="宋体" w:eastAsia="宋体" w:cs="宋体"/>
                <w:snapToGrid w:val="0"/>
                <w:kern w:val="0"/>
                <w:sz w:val="24"/>
                <w:szCs w:val="24"/>
                <w:lang w:val="en-US" w:eastAsia="zh-CN" w:bidi="ar-SA"/>
              </w:rPr>
              <w:t>分；</w:t>
            </w:r>
          </w:p>
          <w:p w14:paraId="4AFA7208">
            <w:pPr>
              <w:keepNext w:val="0"/>
              <w:keepLines w:val="0"/>
              <w:pageBreakBefore w:val="0"/>
              <w:widowControl w:val="0"/>
              <w:kinsoku/>
              <w:wordWrap/>
              <w:overflowPunct/>
              <w:topLinePunct w:val="0"/>
              <w:autoSpaceDE/>
              <w:autoSpaceDN/>
              <w:bidi w:val="0"/>
              <w:adjustRightInd w:val="0"/>
              <w:snapToGrid w:val="0"/>
              <w:spacing w:after="0" w:afterLines="0" w:line="312" w:lineRule="auto"/>
              <w:ind w:firstLine="0" w:firstLineChars="0"/>
              <w:jc w:val="left"/>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3、对本项目特点和难点理解有待提升，方案基本适合本项目招标需求，完整详细，具有可行性、实用性、针对性有待改善，得</w:t>
            </w:r>
            <w:r>
              <w:rPr>
                <w:rFonts w:hint="eastAsia" w:ascii="宋体" w:hAnsi="宋体" w:cs="宋体"/>
                <w:snapToGrid w:val="0"/>
                <w:kern w:val="0"/>
                <w:sz w:val="24"/>
                <w:szCs w:val="24"/>
                <w:lang w:val="en-US" w:eastAsia="zh-CN" w:bidi="ar-SA"/>
              </w:rPr>
              <w:t>3</w:t>
            </w:r>
            <w:r>
              <w:rPr>
                <w:rFonts w:hint="eastAsia" w:ascii="宋体" w:hAnsi="宋体" w:eastAsia="宋体" w:cs="宋体"/>
                <w:snapToGrid w:val="0"/>
                <w:kern w:val="0"/>
                <w:sz w:val="24"/>
                <w:szCs w:val="24"/>
                <w:lang w:val="en-US" w:eastAsia="zh-CN" w:bidi="ar-SA"/>
              </w:rPr>
              <w:t>分；</w:t>
            </w:r>
          </w:p>
          <w:p w14:paraId="69692DA8">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napToGrid w:val="0"/>
                <w:kern w:val="0"/>
                <w:sz w:val="24"/>
                <w:szCs w:val="24"/>
                <w:lang w:val="en-US" w:eastAsia="zh-CN" w:bidi="ar-SA"/>
              </w:rPr>
              <w:t>4、方案不可行或未提供得0分。</w:t>
            </w:r>
          </w:p>
        </w:tc>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14:paraId="36BB7FA0">
            <w:pPr>
              <w:keepNext w:val="0"/>
              <w:keepLines w:val="0"/>
              <w:pageBreakBefore w:val="0"/>
              <w:widowControl/>
              <w:kinsoku/>
              <w:wordWrap/>
              <w:overflowPunct/>
              <w:topLinePunct w:val="0"/>
              <w:autoSpaceDE/>
              <w:autoSpaceDN/>
              <w:bidi w:val="0"/>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0-10</w:t>
            </w:r>
          </w:p>
        </w:tc>
      </w:tr>
      <w:tr w14:paraId="40AA5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555" w:hRule="atLeast"/>
          <w:jc w:val="center"/>
        </w:trPr>
        <w:tc>
          <w:tcPr>
            <w:tcW w:w="1074" w:type="dxa"/>
            <w:tcBorders>
              <w:left w:val="single" w:color="auto" w:sz="4" w:space="0"/>
              <w:right w:val="single" w:color="auto" w:sz="4" w:space="0"/>
            </w:tcBorders>
            <w:vAlign w:val="center"/>
          </w:tcPr>
          <w:p w14:paraId="2C0D8275">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价格分</w:t>
            </w:r>
          </w:p>
          <w:p w14:paraId="67805069">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cs="宋体"/>
                <w:b/>
                <w:bCs/>
                <w:sz w:val="24"/>
                <w:szCs w:val="24"/>
                <w:lang w:val="en-US" w:eastAsia="zh-CN"/>
              </w:rPr>
              <w:t>30</w:t>
            </w:r>
            <w:r>
              <w:rPr>
                <w:rFonts w:hint="eastAsia" w:ascii="宋体" w:hAnsi="宋体" w:eastAsia="宋体" w:cs="宋体"/>
                <w:b/>
                <w:bCs/>
                <w:sz w:val="24"/>
                <w:szCs w:val="24"/>
              </w:rPr>
              <w:t>分）</w:t>
            </w:r>
          </w:p>
        </w:tc>
        <w:tc>
          <w:tcPr>
            <w:tcW w:w="8413" w:type="dxa"/>
            <w:gridSpan w:val="3"/>
            <w:tcBorders>
              <w:top w:val="single" w:color="auto" w:sz="4" w:space="0"/>
              <w:left w:val="single" w:color="auto" w:sz="4" w:space="0"/>
              <w:bottom w:val="single" w:color="auto" w:sz="4" w:space="0"/>
              <w:right w:val="single" w:color="auto" w:sz="4" w:space="0"/>
            </w:tcBorders>
            <w:vAlign w:val="center"/>
          </w:tcPr>
          <w:p w14:paraId="377F9A13">
            <w:pPr>
              <w:keepNext w:val="0"/>
              <w:keepLines w:val="0"/>
              <w:pageBreakBefore w:val="0"/>
              <w:widowControl/>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价格分统一采用低价优先法，即满足磋商文件要求且最终报价最低的价格作为评标基准价，其价格分为满分</w:t>
            </w:r>
            <w:r>
              <w:rPr>
                <w:rFonts w:hint="eastAsia" w:ascii="宋体" w:hAnsi="宋体" w:cs="宋体"/>
                <w:sz w:val="24"/>
                <w:szCs w:val="24"/>
                <w:u w:val="single"/>
                <w:lang w:val="en-US" w:eastAsia="zh-CN"/>
              </w:rPr>
              <w:t>30</w:t>
            </w:r>
            <w:r>
              <w:rPr>
                <w:rFonts w:hint="eastAsia" w:ascii="宋体" w:hAnsi="宋体" w:eastAsia="宋体" w:cs="宋体"/>
                <w:sz w:val="24"/>
                <w:szCs w:val="24"/>
              </w:rPr>
              <w:t>分。其他磋商供应商的价格分统一按照下列公式计算（四舍五入保留至小数点后两位数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响应报价</w:t>
            </w:r>
            <w:r>
              <w:rPr>
                <w:rFonts w:hint="eastAsia" w:ascii="宋体" w:hAnsi="宋体" w:eastAsia="宋体" w:cs="宋体"/>
                <w:sz w:val="24"/>
                <w:szCs w:val="24"/>
                <w:lang w:eastAsia="zh-CN"/>
              </w:rPr>
              <w:t>保留两位小数</w:t>
            </w:r>
            <w:r>
              <w:rPr>
                <w:rFonts w:hint="eastAsia" w:ascii="宋体" w:hAnsi="宋体" w:eastAsia="宋体" w:cs="宋体"/>
                <w:sz w:val="24"/>
                <w:szCs w:val="24"/>
              </w:rPr>
              <w:t>）：</w:t>
            </w:r>
          </w:p>
          <w:p w14:paraId="3F1EABDE">
            <w:pPr>
              <w:keepNext w:val="0"/>
              <w:keepLines w:val="0"/>
              <w:pageBreakBefore w:val="0"/>
              <w:kinsoku/>
              <w:wordWrap/>
              <w:overflowPunct/>
              <w:topLinePunct w:val="0"/>
              <w:autoSpaceDE/>
              <w:autoSpaceDN/>
              <w:bidi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磋商报价得分＝（评标基准价/磋商报价）×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％×100</w:t>
            </w:r>
          </w:p>
        </w:tc>
      </w:tr>
    </w:tbl>
    <w:p w14:paraId="733C5890">
      <w:pPr>
        <w:spacing w:line="52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ED9F5CF">
      <w:pPr>
        <w:pStyle w:val="12"/>
        <w:spacing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3、得分汇总</w:t>
      </w:r>
    </w:p>
    <w:p w14:paraId="74AE3527">
      <w:pPr>
        <w:pStyle w:val="12"/>
        <w:spacing w:line="52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（1）将每个有效磋商供应商的技术标分之和加上根据上述标准计算出的价格分，即为该磋商供应商的综合总得分。</w:t>
      </w:r>
    </w:p>
    <w:p w14:paraId="13997F2C">
      <w:pPr>
        <w:spacing w:line="520" w:lineRule="exact"/>
        <w:ind w:firstLine="480" w:firstLineChars="200"/>
        <w:rPr>
          <w:rFonts w:ascii="宋体" w:hAnsi="宋体" w:cs="宋体"/>
          <w:color w:val="auto"/>
          <w:sz w:val="28"/>
          <w:szCs w:val="28"/>
          <w:highlight w:val="none"/>
        </w:rPr>
      </w:pPr>
      <w:r>
        <w:rPr>
          <w:rFonts w:hint="eastAsia" w:ascii="宋体" w:hAnsi="宋体" w:cs="宋体"/>
          <w:color w:val="auto"/>
          <w:sz w:val="24"/>
          <w:szCs w:val="24"/>
          <w:highlight w:val="none"/>
        </w:rPr>
        <w:t>（2）按照有效磋商供应商综合总得分由高到低依次排出成交供应商及成交候选供应商。</w:t>
      </w:r>
    </w:p>
    <w:p w14:paraId="4F33F740">
      <w:pPr>
        <w:rPr>
          <w:rFonts w:ascii="宋体" w:hAnsi="宋体" w:cs="宋体"/>
          <w:color w:val="auto"/>
          <w:sz w:val="28"/>
          <w:szCs w:val="28"/>
          <w:highlight w:val="none"/>
        </w:rPr>
      </w:pPr>
      <w:r>
        <w:rPr>
          <w:rFonts w:hint="eastAsia" w:ascii="宋体" w:hAnsi="宋体" w:cs="宋体"/>
          <w:color w:val="auto"/>
          <w:sz w:val="28"/>
          <w:szCs w:val="28"/>
          <w:highlight w:val="none"/>
        </w:rPr>
        <w:br w:type="page"/>
      </w:r>
    </w:p>
    <w:p w14:paraId="3EDC90BD">
      <w:pPr>
        <w:pStyle w:val="5"/>
        <w:spacing w:before="0" w:after="0" w:line="560" w:lineRule="exact"/>
        <w:jc w:val="center"/>
        <w:rPr>
          <w:rFonts w:ascii="宋体" w:hAnsi="宋体" w:eastAsia="宋体" w:cs="宋体"/>
          <w:color w:val="auto"/>
          <w:sz w:val="28"/>
          <w:szCs w:val="28"/>
          <w:highlight w:val="none"/>
        </w:rPr>
      </w:pPr>
      <w:bookmarkStart w:id="43" w:name="_Toc6567"/>
      <w:r>
        <w:rPr>
          <w:rFonts w:hint="eastAsia" w:ascii="宋体" w:hAnsi="宋体" w:eastAsia="宋体" w:cs="宋体"/>
          <w:color w:val="auto"/>
          <w:sz w:val="28"/>
          <w:szCs w:val="28"/>
          <w:highlight w:val="none"/>
        </w:rPr>
        <w:t>五、响应文件格式</w:t>
      </w:r>
      <w:bookmarkEnd w:id="43"/>
    </w:p>
    <w:p w14:paraId="030A77DD">
      <w:pPr>
        <w:spacing w:line="500" w:lineRule="exact"/>
        <w:jc w:val="center"/>
        <w:rPr>
          <w:rFonts w:ascii="宋体" w:hAnsi="宋体"/>
          <w:b/>
          <w:color w:val="auto"/>
          <w:sz w:val="32"/>
          <w:highlight w:val="none"/>
        </w:rPr>
      </w:pPr>
    </w:p>
    <w:p w14:paraId="04B43F5A">
      <w:pPr>
        <w:spacing w:line="500" w:lineRule="exact"/>
        <w:jc w:val="center"/>
        <w:rPr>
          <w:rFonts w:ascii="宋体" w:hAnsi="宋体"/>
          <w:b/>
          <w:color w:val="auto"/>
          <w:sz w:val="32"/>
          <w:highlight w:val="none"/>
        </w:rPr>
      </w:pPr>
      <w:r>
        <w:rPr>
          <w:rFonts w:hint="eastAsia" w:ascii="宋体" w:hAnsi="宋体"/>
          <w:b/>
          <w:color w:val="auto"/>
          <w:sz w:val="32"/>
          <w:highlight w:val="none"/>
          <w:u w:val="single"/>
        </w:rPr>
        <w:t xml:space="preserve">　　　　　　　 </w:t>
      </w:r>
      <w:r>
        <w:rPr>
          <w:rFonts w:hint="eastAsia" w:ascii="宋体" w:hAnsi="宋体"/>
          <w:b/>
          <w:color w:val="auto"/>
          <w:sz w:val="32"/>
          <w:highlight w:val="none"/>
        </w:rPr>
        <w:t>项目</w:t>
      </w:r>
    </w:p>
    <w:p w14:paraId="6965F67F">
      <w:pPr>
        <w:spacing w:line="900" w:lineRule="exact"/>
        <w:rPr>
          <w:rFonts w:ascii="宋体" w:hAnsi="宋体"/>
          <w:b/>
          <w:color w:val="auto"/>
          <w:sz w:val="72"/>
          <w:highlight w:val="none"/>
        </w:rPr>
      </w:pPr>
    </w:p>
    <w:p w14:paraId="158D83EE">
      <w:pPr>
        <w:spacing w:line="900" w:lineRule="exact"/>
        <w:jc w:val="center"/>
        <w:rPr>
          <w:rFonts w:ascii="宋体" w:hAnsi="宋体"/>
          <w:b/>
          <w:color w:val="auto"/>
          <w:sz w:val="72"/>
          <w:highlight w:val="none"/>
        </w:rPr>
      </w:pPr>
      <w:r>
        <w:rPr>
          <w:rFonts w:hint="eastAsia" w:ascii="宋体" w:hAnsi="宋体"/>
          <w:b/>
          <w:color w:val="auto"/>
          <w:sz w:val="72"/>
          <w:highlight w:val="none"/>
        </w:rPr>
        <w:t>响</w:t>
      </w:r>
    </w:p>
    <w:p w14:paraId="0EA9B453">
      <w:pPr>
        <w:spacing w:line="900" w:lineRule="exact"/>
        <w:jc w:val="center"/>
        <w:rPr>
          <w:rFonts w:ascii="宋体" w:hAnsi="宋体"/>
          <w:b/>
          <w:color w:val="auto"/>
          <w:sz w:val="72"/>
          <w:highlight w:val="none"/>
        </w:rPr>
      </w:pPr>
    </w:p>
    <w:p w14:paraId="70068259">
      <w:pPr>
        <w:spacing w:line="900" w:lineRule="exact"/>
        <w:jc w:val="center"/>
        <w:rPr>
          <w:rFonts w:ascii="宋体" w:hAnsi="宋体"/>
          <w:b/>
          <w:color w:val="auto"/>
          <w:sz w:val="72"/>
          <w:highlight w:val="none"/>
        </w:rPr>
      </w:pPr>
      <w:r>
        <w:rPr>
          <w:rFonts w:hint="eastAsia" w:ascii="宋体" w:hAnsi="宋体"/>
          <w:b/>
          <w:color w:val="auto"/>
          <w:sz w:val="72"/>
          <w:highlight w:val="none"/>
        </w:rPr>
        <w:t>应</w:t>
      </w:r>
    </w:p>
    <w:p w14:paraId="5A5DBAC1">
      <w:pPr>
        <w:spacing w:line="900" w:lineRule="exact"/>
        <w:jc w:val="center"/>
        <w:rPr>
          <w:rFonts w:ascii="宋体" w:hAnsi="宋体"/>
          <w:b/>
          <w:color w:val="auto"/>
          <w:sz w:val="72"/>
          <w:highlight w:val="none"/>
        </w:rPr>
      </w:pPr>
    </w:p>
    <w:p w14:paraId="54DBA30B">
      <w:pPr>
        <w:spacing w:line="900" w:lineRule="exact"/>
        <w:jc w:val="center"/>
        <w:rPr>
          <w:rFonts w:ascii="宋体" w:hAnsi="宋体"/>
          <w:b/>
          <w:color w:val="auto"/>
          <w:sz w:val="72"/>
          <w:highlight w:val="none"/>
        </w:rPr>
      </w:pPr>
      <w:r>
        <w:rPr>
          <w:rFonts w:hint="eastAsia" w:ascii="宋体" w:hAnsi="宋体"/>
          <w:b/>
          <w:color w:val="auto"/>
          <w:sz w:val="72"/>
          <w:highlight w:val="none"/>
        </w:rPr>
        <w:t>文</w:t>
      </w:r>
    </w:p>
    <w:p w14:paraId="21EC46DD">
      <w:pPr>
        <w:spacing w:line="900" w:lineRule="exact"/>
        <w:jc w:val="center"/>
        <w:rPr>
          <w:rFonts w:ascii="宋体" w:hAnsi="宋体"/>
          <w:b/>
          <w:color w:val="auto"/>
          <w:sz w:val="72"/>
          <w:highlight w:val="none"/>
        </w:rPr>
      </w:pPr>
    </w:p>
    <w:p w14:paraId="6A749EBF">
      <w:pPr>
        <w:jc w:val="center"/>
        <w:rPr>
          <w:rFonts w:ascii="宋体" w:hAnsi="宋体"/>
          <w:b/>
          <w:color w:val="auto"/>
          <w:sz w:val="72"/>
          <w:highlight w:val="none"/>
        </w:rPr>
      </w:pPr>
      <w:r>
        <w:rPr>
          <w:rFonts w:hint="eastAsia" w:ascii="宋体" w:hAnsi="宋体"/>
          <w:b/>
          <w:color w:val="auto"/>
          <w:sz w:val="72"/>
          <w:highlight w:val="none"/>
        </w:rPr>
        <w:t>件</w:t>
      </w:r>
    </w:p>
    <w:p w14:paraId="60B570DD">
      <w:pPr>
        <w:spacing w:after="156" w:afterLines="50"/>
        <w:jc w:val="center"/>
        <w:rPr>
          <w:rFonts w:ascii="宋体" w:hAnsi="宋体"/>
          <w:b/>
          <w:color w:val="auto"/>
          <w:sz w:val="72"/>
          <w:highlight w:val="none"/>
        </w:rPr>
      </w:pPr>
    </w:p>
    <w:p w14:paraId="05E329F2">
      <w:pPr>
        <w:spacing w:after="156" w:afterLines="50" w:line="500" w:lineRule="exact"/>
        <w:jc w:val="center"/>
        <w:rPr>
          <w:rFonts w:ascii="宋体" w:hAnsi="宋体"/>
          <w:b/>
          <w:color w:val="auto"/>
          <w:sz w:val="72"/>
          <w:highlight w:val="none"/>
        </w:rPr>
      </w:pPr>
    </w:p>
    <w:p w14:paraId="4B2D0E3F">
      <w:pPr>
        <w:spacing w:after="156" w:afterLines="50" w:line="500" w:lineRule="exact"/>
        <w:ind w:firstLine="3052" w:firstLineChars="950"/>
        <w:rPr>
          <w:rFonts w:hint="eastAsia" w:ascii="宋体" w:hAnsi="宋体"/>
          <w:b/>
          <w:color w:val="auto"/>
          <w:sz w:val="32"/>
          <w:highlight w:val="none"/>
        </w:rPr>
      </w:pPr>
    </w:p>
    <w:p w14:paraId="64388556">
      <w:pPr>
        <w:spacing w:after="156" w:afterLines="50" w:line="500" w:lineRule="exact"/>
        <w:ind w:firstLine="3052" w:firstLineChars="950"/>
        <w:rPr>
          <w:rFonts w:hint="eastAsia" w:ascii="宋体" w:hAnsi="宋体"/>
          <w:b/>
          <w:color w:val="auto"/>
          <w:sz w:val="32"/>
          <w:highlight w:val="none"/>
        </w:rPr>
      </w:pPr>
    </w:p>
    <w:p w14:paraId="0E07ED7C">
      <w:pPr>
        <w:spacing w:after="156" w:afterLines="50" w:line="500" w:lineRule="exact"/>
        <w:ind w:firstLine="3052" w:firstLineChars="950"/>
        <w:rPr>
          <w:rFonts w:hint="eastAsia" w:ascii="宋体" w:hAnsi="宋体"/>
          <w:b/>
          <w:color w:val="auto"/>
          <w:sz w:val="32"/>
          <w:highlight w:val="none"/>
        </w:rPr>
      </w:pPr>
    </w:p>
    <w:p w14:paraId="78F5E551">
      <w:pPr>
        <w:spacing w:after="156" w:afterLines="50" w:line="500" w:lineRule="exact"/>
        <w:ind w:firstLine="3052" w:firstLineChars="950"/>
        <w:rPr>
          <w:rFonts w:ascii="宋体" w:hAnsi="宋体"/>
          <w:b/>
          <w:color w:val="auto"/>
          <w:sz w:val="32"/>
          <w:highlight w:val="none"/>
          <w:u w:val="single"/>
        </w:rPr>
      </w:pPr>
      <w:r>
        <w:rPr>
          <w:rFonts w:hint="eastAsia" w:ascii="宋体" w:hAnsi="宋体"/>
          <w:b/>
          <w:color w:val="auto"/>
          <w:sz w:val="32"/>
          <w:highlight w:val="none"/>
        </w:rPr>
        <w:t>供应商：</w:t>
      </w:r>
    </w:p>
    <w:p w14:paraId="1E6560AB">
      <w:pPr>
        <w:spacing w:after="156" w:afterLines="50" w:line="500" w:lineRule="exact"/>
        <w:ind w:firstLine="3052" w:firstLineChars="950"/>
        <w:rPr>
          <w:rFonts w:ascii="宋体" w:hAnsi="宋体"/>
          <w:b/>
          <w:color w:val="auto"/>
          <w:sz w:val="32"/>
          <w:highlight w:val="none"/>
        </w:rPr>
      </w:pPr>
      <w:r>
        <w:rPr>
          <w:rFonts w:hint="eastAsia" w:ascii="宋体" w:hAnsi="宋体"/>
          <w:b/>
          <w:color w:val="auto"/>
          <w:sz w:val="32"/>
          <w:highlight w:val="none"/>
        </w:rPr>
        <w:t>年  月  日</w:t>
      </w:r>
    </w:p>
    <w:p w14:paraId="107A7476">
      <w:pPr>
        <w:spacing w:after="156" w:afterLines="50" w:line="500" w:lineRule="exact"/>
        <w:jc w:val="center"/>
        <w:rPr>
          <w:rFonts w:ascii="宋体" w:hAnsi="宋体"/>
          <w:b/>
          <w:color w:val="auto"/>
          <w:sz w:val="32"/>
          <w:highlight w:val="none"/>
        </w:rPr>
      </w:pPr>
    </w:p>
    <w:p w14:paraId="139B3A21">
      <w:pPr>
        <w:spacing w:line="360" w:lineRule="auto"/>
        <w:rPr>
          <w:rFonts w:ascii="宋体" w:hAnsi="宋体"/>
          <w:color w:val="auto"/>
          <w:sz w:val="24"/>
          <w:szCs w:val="28"/>
          <w:highlight w:val="none"/>
        </w:rPr>
      </w:pPr>
    </w:p>
    <w:bookmarkEnd w:id="36"/>
    <w:p w14:paraId="1A6752FA">
      <w:pPr>
        <w:pStyle w:val="5"/>
        <w:spacing w:before="156" w:beforeLines="50" w:after="156" w:afterLines="50" w:line="560" w:lineRule="exact"/>
        <w:jc w:val="center"/>
        <w:rPr>
          <w:rFonts w:hint="eastAsia" w:ascii="宋体" w:hAnsi="宋体" w:eastAsia="宋体" w:cs="宋体"/>
          <w:color w:val="auto"/>
          <w:sz w:val="24"/>
          <w:szCs w:val="24"/>
          <w:highlight w:val="none"/>
        </w:rPr>
      </w:pPr>
      <w:bookmarkStart w:id="44" w:name="_Toc6954"/>
    </w:p>
    <w:p w14:paraId="0B360849">
      <w:pPr>
        <w:pStyle w:val="5"/>
        <w:spacing w:before="156" w:beforeLines="50" w:after="156" w:afterLines="50" w:line="56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响应文件资料清单</w:t>
      </w:r>
      <w:bookmarkEnd w:id="44"/>
    </w:p>
    <w:tbl>
      <w:tblPr>
        <w:tblStyle w:val="34"/>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8AD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C21B9AA">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038" w:type="dxa"/>
            <w:vAlign w:val="center"/>
          </w:tcPr>
          <w:p w14:paraId="5F23947F">
            <w:pPr>
              <w:spacing w:line="400" w:lineRule="exact"/>
              <w:jc w:val="center"/>
              <w:rPr>
                <w:rFonts w:ascii="宋体" w:hAnsi="宋体"/>
                <w:b/>
                <w:color w:val="auto"/>
                <w:sz w:val="24"/>
                <w:highlight w:val="none"/>
              </w:rPr>
            </w:pPr>
            <w:r>
              <w:rPr>
                <w:rFonts w:hint="eastAsia" w:ascii="宋体" w:hAnsi="宋体"/>
                <w:b/>
                <w:color w:val="auto"/>
                <w:sz w:val="24"/>
                <w:highlight w:val="none"/>
              </w:rPr>
              <w:t>资料名称</w:t>
            </w:r>
          </w:p>
        </w:tc>
        <w:tc>
          <w:tcPr>
            <w:tcW w:w="1417" w:type="dxa"/>
            <w:vAlign w:val="center"/>
          </w:tcPr>
          <w:p w14:paraId="3DDEEC7E">
            <w:pPr>
              <w:spacing w:line="400" w:lineRule="exact"/>
              <w:jc w:val="center"/>
              <w:rPr>
                <w:rFonts w:ascii="宋体" w:hAnsi="宋体"/>
                <w:b/>
                <w:color w:val="auto"/>
                <w:sz w:val="24"/>
                <w:highlight w:val="none"/>
              </w:rPr>
            </w:pPr>
            <w:r>
              <w:rPr>
                <w:rFonts w:hint="eastAsia" w:ascii="宋体" w:hAnsi="宋体"/>
                <w:b/>
                <w:color w:val="auto"/>
                <w:sz w:val="24"/>
                <w:highlight w:val="none"/>
              </w:rPr>
              <w:t>备注</w:t>
            </w:r>
          </w:p>
        </w:tc>
      </w:tr>
      <w:tr w14:paraId="53CD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D88A183">
            <w:pPr>
              <w:jc w:val="center"/>
              <w:rPr>
                <w:rFonts w:ascii="Tahoma" w:hAnsi="Tahoma"/>
                <w:color w:val="auto"/>
                <w:sz w:val="24"/>
                <w:highlight w:val="none"/>
              </w:rPr>
            </w:pPr>
            <w:r>
              <w:rPr>
                <w:rFonts w:hint="eastAsia" w:ascii="Tahoma" w:hAnsi="Tahoma"/>
                <w:color w:val="auto"/>
                <w:sz w:val="24"/>
                <w:highlight w:val="none"/>
              </w:rPr>
              <w:t>一</w:t>
            </w:r>
          </w:p>
        </w:tc>
        <w:tc>
          <w:tcPr>
            <w:tcW w:w="6038" w:type="dxa"/>
            <w:vAlign w:val="center"/>
          </w:tcPr>
          <w:p w14:paraId="0017C780">
            <w:pPr>
              <w:spacing w:line="360" w:lineRule="auto"/>
              <w:rPr>
                <w:rFonts w:ascii="Tahoma" w:hAnsi="Tahoma"/>
                <w:color w:val="auto"/>
                <w:sz w:val="24"/>
                <w:highlight w:val="none"/>
              </w:rPr>
            </w:pPr>
            <w:r>
              <w:rPr>
                <w:rFonts w:hint="eastAsia" w:ascii="宋体" w:hAnsi="宋体"/>
                <w:color w:val="auto"/>
                <w:sz w:val="24"/>
                <w:szCs w:val="24"/>
                <w:highlight w:val="none"/>
              </w:rPr>
              <w:t>报价单</w:t>
            </w:r>
          </w:p>
        </w:tc>
        <w:tc>
          <w:tcPr>
            <w:tcW w:w="1417" w:type="dxa"/>
            <w:vAlign w:val="center"/>
          </w:tcPr>
          <w:p w14:paraId="0FB0CBB1">
            <w:pPr>
              <w:spacing w:line="360" w:lineRule="auto"/>
              <w:jc w:val="center"/>
              <w:rPr>
                <w:rFonts w:ascii="宋体" w:hAnsi="宋体"/>
                <w:b/>
                <w:color w:val="auto"/>
                <w:sz w:val="24"/>
                <w:highlight w:val="none"/>
              </w:rPr>
            </w:pPr>
          </w:p>
        </w:tc>
      </w:tr>
      <w:tr w14:paraId="184A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32B941D8">
            <w:pPr>
              <w:jc w:val="center"/>
              <w:rPr>
                <w:rFonts w:ascii="Tahoma" w:hAnsi="Tahoma"/>
                <w:color w:val="auto"/>
                <w:sz w:val="24"/>
                <w:highlight w:val="none"/>
              </w:rPr>
            </w:pPr>
            <w:r>
              <w:rPr>
                <w:rFonts w:hint="eastAsia" w:ascii="Tahoma" w:hAnsi="Tahoma"/>
                <w:color w:val="auto"/>
                <w:sz w:val="24"/>
                <w:highlight w:val="none"/>
              </w:rPr>
              <w:t>二</w:t>
            </w:r>
          </w:p>
        </w:tc>
        <w:tc>
          <w:tcPr>
            <w:tcW w:w="6038" w:type="dxa"/>
            <w:vAlign w:val="center"/>
          </w:tcPr>
          <w:p w14:paraId="50AAA1DE">
            <w:pPr>
              <w:spacing w:line="360" w:lineRule="auto"/>
              <w:rPr>
                <w:rFonts w:ascii="Tahoma" w:hAnsi="Tahoma"/>
                <w:color w:val="auto"/>
                <w:sz w:val="24"/>
                <w:highlight w:val="none"/>
              </w:rPr>
            </w:pPr>
            <w:r>
              <w:rPr>
                <w:rFonts w:hint="eastAsia" w:ascii="Tahoma" w:hAnsi="Tahoma"/>
                <w:color w:val="auto"/>
                <w:sz w:val="24"/>
                <w:highlight w:val="none"/>
              </w:rPr>
              <w:t>供应商基本信息</w:t>
            </w:r>
          </w:p>
        </w:tc>
        <w:tc>
          <w:tcPr>
            <w:tcW w:w="1417" w:type="dxa"/>
            <w:vAlign w:val="center"/>
          </w:tcPr>
          <w:p w14:paraId="0AD0145D">
            <w:pPr>
              <w:spacing w:line="360" w:lineRule="auto"/>
              <w:jc w:val="center"/>
              <w:rPr>
                <w:rFonts w:ascii="宋体" w:hAnsi="宋体"/>
                <w:b/>
                <w:color w:val="auto"/>
                <w:sz w:val="24"/>
                <w:highlight w:val="none"/>
              </w:rPr>
            </w:pPr>
          </w:p>
        </w:tc>
      </w:tr>
      <w:tr w14:paraId="5317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40B332C">
            <w:pPr>
              <w:jc w:val="center"/>
              <w:rPr>
                <w:rFonts w:ascii="Tahoma" w:hAnsi="Tahoma"/>
                <w:color w:val="auto"/>
                <w:sz w:val="24"/>
                <w:highlight w:val="none"/>
              </w:rPr>
            </w:pPr>
            <w:r>
              <w:rPr>
                <w:rFonts w:hint="eastAsia" w:ascii="Tahoma" w:hAnsi="Tahoma"/>
                <w:color w:val="auto"/>
                <w:sz w:val="24"/>
                <w:highlight w:val="none"/>
              </w:rPr>
              <w:t>三</w:t>
            </w:r>
          </w:p>
        </w:tc>
        <w:tc>
          <w:tcPr>
            <w:tcW w:w="6038" w:type="dxa"/>
            <w:vAlign w:val="center"/>
          </w:tcPr>
          <w:p w14:paraId="1009B73F">
            <w:pPr>
              <w:pStyle w:val="68"/>
              <w:rPr>
                <w:color w:val="auto"/>
                <w:highlight w:val="none"/>
              </w:rPr>
            </w:pPr>
            <w:r>
              <w:rPr>
                <w:rFonts w:hint="eastAsia" w:ascii="宋体" w:hAnsi="宋体"/>
                <w:color w:val="auto"/>
                <w:szCs w:val="24"/>
                <w:highlight w:val="none"/>
              </w:rPr>
              <w:t>磋商授权书</w:t>
            </w:r>
          </w:p>
        </w:tc>
        <w:tc>
          <w:tcPr>
            <w:tcW w:w="1417" w:type="dxa"/>
            <w:vAlign w:val="center"/>
          </w:tcPr>
          <w:p w14:paraId="290F1918">
            <w:pPr>
              <w:spacing w:line="360" w:lineRule="auto"/>
              <w:jc w:val="center"/>
              <w:rPr>
                <w:rFonts w:ascii="宋体" w:hAnsi="宋体"/>
                <w:b/>
                <w:color w:val="auto"/>
                <w:sz w:val="24"/>
                <w:highlight w:val="none"/>
              </w:rPr>
            </w:pPr>
          </w:p>
        </w:tc>
      </w:tr>
      <w:tr w14:paraId="3DBB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4CE8575F">
            <w:pPr>
              <w:jc w:val="center"/>
              <w:rPr>
                <w:rFonts w:ascii="Tahoma" w:hAnsi="Tahoma"/>
                <w:color w:val="auto"/>
                <w:sz w:val="24"/>
                <w:highlight w:val="none"/>
              </w:rPr>
            </w:pPr>
            <w:r>
              <w:rPr>
                <w:rFonts w:hint="eastAsia" w:ascii="Tahoma" w:hAnsi="Tahoma"/>
                <w:color w:val="auto"/>
                <w:sz w:val="24"/>
                <w:highlight w:val="none"/>
              </w:rPr>
              <w:t>四</w:t>
            </w:r>
          </w:p>
        </w:tc>
        <w:tc>
          <w:tcPr>
            <w:tcW w:w="6038" w:type="dxa"/>
            <w:vAlign w:val="center"/>
          </w:tcPr>
          <w:p w14:paraId="136E5DBA">
            <w:pPr>
              <w:pStyle w:val="68"/>
              <w:rPr>
                <w:color w:val="auto"/>
                <w:highlight w:val="none"/>
              </w:rPr>
            </w:pPr>
            <w:r>
              <w:rPr>
                <w:rFonts w:hint="eastAsia" w:ascii="宋体" w:hAnsi="宋体"/>
                <w:color w:val="auto"/>
                <w:szCs w:val="24"/>
                <w:highlight w:val="none"/>
              </w:rPr>
              <w:t>磋商响应函</w:t>
            </w:r>
          </w:p>
        </w:tc>
        <w:tc>
          <w:tcPr>
            <w:tcW w:w="1417" w:type="dxa"/>
            <w:vAlign w:val="center"/>
          </w:tcPr>
          <w:p w14:paraId="36BDDF68">
            <w:pPr>
              <w:spacing w:line="360" w:lineRule="auto"/>
              <w:jc w:val="center"/>
              <w:rPr>
                <w:rFonts w:ascii="宋体" w:hAnsi="宋体"/>
                <w:b/>
                <w:color w:val="auto"/>
                <w:sz w:val="24"/>
                <w:highlight w:val="none"/>
              </w:rPr>
            </w:pPr>
          </w:p>
        </w:tc>
      </w:tr>
      <w:tr w14:paraId="5BA7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2AF43656">
            <w:pPr>
              <w:jc w:val="center"/>
              <w:rPr>
                <w:rFonts w:ascii="Tahoma" w:hAnsi="Tahoma"/>
                <w:color w:val="auto"/>
                <w:sz w:val="24"/>
                <w:highlight w:val="none"/>
              </w:rPr>
            </w:pPr>
            <w:r>
              <w:rPr>
                <w:rFonts w:hint="eastAsia" w:ascii="Tahoma" w:hAnsi="Tahoma"/>
                <w:color w:val="auto"/>
                <w:sz w:val="24"/>
                <w:highlight w:val="none"/>
              </w:rPr>
              <w:t>五</w:t>
            </w:r>
          </w:p>
        </w:tc>
        <w:tc>
          <w:tcPr>
            <w:tcW w:w="6038" w:type="dxa"/>
            <w:vAlign w:val="center"/>
          </w:tcPr>
          <w:p w14:paraId="4E126115">
            <w:pPr>
              <w:rPr>
                <w:rFonts w:ascii="宋体" w:hAnsi="宋体" w:cs="宋体"/>
                <w:color w:val="auto"/>
                <w:sz w:val="24"/>
                <w:highlight w:val="none"/>
              </w:rPr>
            </w:pPr>
            <w:r>
              <w:rPr>
                <w:rFonts w:hint="eastAsia" w:ascii="宋体" w:hAnsi="宋体" w:cs="宋体"/>
                <w:color w:val="auto"/>
                <w:sz w:val="24"/>
                <w:szCs w:val="24"/>
                <w:highlight w:val="none"/>
              </w:rPr>
              <w:t>无重大违法记录声明函、无不良信用记录承诺函</w:t>
            </w:r>
          </w:p>
        </w:tc>
        <w:tc>
          <w:tcPr>
            <w:tcW w:w="1417" w:type="dxa"/>
            <w:vAlign w:val="center"/>
          </w:tcPr>
          <w:p w14:paraId="2F327081">
            <w:pPr>
              <w:spacing w:line="360" w:lineRule="auto"/>
              <w:jc w:val="center"/>
              <w:rPr>
                <w:rFonts w:ascii="宋体" w:hAnsi="宋体"/>
                <w:b/>
                <w:color w:val="auto"/>
                <w:sz w:val="24"/>
                <w:highlight w:val="none"/>
              </w:rPr>
            </w:pPr>
          </w:p>
        </w:tc>
      </w:tr>
      <w:tr w14:paraId="36DB9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28C83DBE">
            <w:pPr>
              <w:jc w:val="center"/>
              <w:rPr>
                <w:rFonts w:ascii="Tahoma" w:hAnsi="Tahoma"/>
                <w:color w:val="auto"/>
                <w:sz w:val="24"/>
                <w:highlight w:val="none"/>
              </w:rPr>
            </w:pPr>
            <w:r>
              <w:rPr>
                <w:rFonts w:hint="eastAsia" w:ascii="Tahoma" w:hAnsi="Tahoma"/>
                <w:color w:val="auto"/>
                <w:sz w:val="24"/>
                <w:highlight w:val="none"/>
              </w:rPr>
              <w:t>六</w:t>
            </w:r>
          </w:p>
        </w:tc>
        <w:tc>
          <w:tcPr>
            <w:tcW w:w="6038" w:type="dxa"/>
            <w:vAlign w:val="center"/>
          </w:tcPr>
          <w:p w14:paraId="26E40DE6">
            <w:pPr>
              <w:rPr>
                <w:rFonts w:ascii="宋体" w:hAnsi="宋体" w:cs="宋体"/>
                <w:color w:val="auto"/>
                <w:sz w:val="24"/>
                <w:highlight w:val="none"/>
              </w:rPr>
            </w:pPr>
            <w:r>
              <w:rPr>
                <w:rFonts w:hint="eastAsia" w:ascii="宋体" w:hAnsi="宋体" w:cs="宋体"/>
                <w:color w:val="auto"/>
                <w:sz w:val="24"/>
                <w:szCs w:val="24"/>
                <w:highlight w:val="none"/>
              </w:rPr>
              <w:t>响应情况表</w:t>
            </w:r>
          </w:p>
        </w:tc>
        <w:tc>
          <w:tcPr>
            <w:tcW w:w="1417" w:type="dxa"/>
            <w:vAlign w:val="center"/>
          </w:tcPr>
          <w:p w14:paraId="608AEA86">
            <w:pPr>
              <w:spacing w:line="360" w:lineRule="auto"/>
              <w:rPr>
                <w:rFonts w:ascii="宋体" w:hAnsi="宋体"/>
                <w:b/>
                <w:color w:val="auto"/>
                <w:sz w:val="24"/>
                <w:highlight w:val="none"/>
              </w:rPr>
            </w:pPr>
          </w:p>
        </w:tc>
      </w:tr>
      <w:tr w14:paraId="2338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39616B3E">
            <w:pPr>
              <w:jc w:val="center"/>
              <w:rPr>
                <w:rFonts w:ascii="Tahoma" w:hAnsi="Tahoma"/>
                <w:color w:val="auto"/>
                <w:sz w:val="24"/>
                <w:highlight w:val="none"/>
              </w:rPr>
            </w:pPr>
            <w:r>
              <w:rPr>
                <w:rFonts w:hint="eastAsia" w:ascii="Tahoma" w:hAnsi="Tahoma"/>
                <w:color w:val="auto"/>
                <w:sz w:val="24"/>
                <w:highlight w:val="none"/>
              </w:rPr>
              <w:t>七</w:t>
            </w:r>
          </w:p>
        </w:tc>
        <w:tc>
          <w:tcPr>
            <w:tcW w:w="6038" w:type="dxa"/>
            <w:vAlign w:val="center"/>
          </w:tcPr>
          <w:p w14:paraId="500BF260">
            <w:pPr>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0"/>
                <w:highlight w:val="none"/>
              </w:rPr>
              <w:t>中小企业声明函</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残疾人福利性单位声明函</w:t>
            </w:r>
          </w:p>
        </w:tc>
        <w:tc>
          <w:tcPr>
            <w:tcW w:w="1417" w:type="dxa"/>
            <w:vAlign w:val="center"/>
          </w:tcPr>
          <w:p w14:paraId="2D747BDD">
            <w:pPr>
              <w:spacing w:line="360" w:lineRule="auto"/>
              <w:rPr>
                <w:rFonts w:ascii="宋体" w:hAnsi="宋体"/>
                <w:b/>
                <w:color w:val="auto"/>
                <w:sz w:val="24"/>
                <w:highlight w:val="none"/>
              </w:rPr>
            </w:pPr>
          </w:p>
        </w:tc>
      </w:tr>
      <w:tr w14:paraId="4463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4AF600DA">
            <w:pPr>
              <w:jc w:val="center"/>
              <w:rPr>
                <w:rFonts w:hint="eastAsia" w:ascii="Tahoma" w:hAnsi="Tahoma" w:eastAsia="宋体"/>
                <w:color w:val="auto"/>
                <w:sz w:val="24"/>
                <w:highlight w:val="none"/>
                <w:lang w:val="en-US" w:eastAsia="zh-CN"/>
              </w:rPr>
            </w:pPr>
            <w:r>
              <w:rPr>
                <w:rFonts w:hint="eastAsia" w:ascii="Tahoma" w:hAnsi="Tahoma"/>
                <w:color w:val="auto"/>
                <w:sz w:val="24"/>
                <w:highlight w:val="none"/>
                <w:lang w:val="en-US" w:eastAsia="zh-CN"/>
              </w:rPr>
              <w:t>八</w:t>
            </w:r>
          </w:p>
        </w:tc>
        <w:tc>
          <w:tcPr>
            <w:tcW w:w="6038" w:type="dxa"/>
            <w:vAlign w:val="center"/>
          </w:tcPr>
          <w:p w14:paraId="4C88FBD3">
            <w:pP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联合体协议</w:t>
            </w:r>
          </w:p>
        </w:tc>
        <w:tc>
          <w:tcPr>
            <w:tcW w:w="1417" w:type="dxa"/>
            <w:vAlign w:val="center"/>
          </w:tcPr>
          <w:p w14:paraId="063275D3">
            <w:pPr>
              <w:spacing w:line="360" w:lineRule="auto"/>
              <w:rPr>
                <w:rFonts w:ascii="宋体" w:hAnsi="宋体"/>
                <w:b/>
                <w:color w:val="auto"/>
                <w:sz w:val="24"/>
                <w:highlight w:val="none"/>
              </w:rPr>
            </w:pPr>
          </w:p>
        </w:tc>
      </w:tr>
      <w:tr w14:paraId="1BE6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0CABE31E">
            <w:pPr>
              <w:jc w:val="center"/>
              <w:rPr>
                <w:rFonts w:hint="default" w:ascii="Tahoma" w:hAnsi="Tahoma" w:eastAsia="宋体"/>
                <w:color w:val="auto"/>
                <w:sz w:val="24"/>
                <w:highlight w:val="none"/>
                <w:lang w:val="en-US" w:eastAsia="zh-CN"/>
              </w:rPr>
            </w:pPr>
            <w:r>
              <w:rPr>
                <w:rFonts w:hint="eastAsia" w:ascii="Tahoma" w:hAnsi="Tahoma"/>
                <w:color w:val="auto"/>
                <w:sz w:val="24"/>
                <w:highlight w:val="none"/>
                <w:lang w:val="en-US" w:eastAsia="zh-CN"/>
              </w:rPr>
              <w:t>九</w:t>
            </w:r>
          </w:p>
        </w:tc>
        <w:tc>
          <w:tcPr>
            <w:tcW w:w="6038" w:type="dxa"/>
            <w:vAlign w:val="center"/>
          </w:tcPr>
          <w:p w14:paraId="0A053D3A">
            <w:pPr>
              <w:rPr>
                <w:rFonts w:ascii="宋体" w:hAnsi="宋体" w:cs="宋体"/>
                <w:color w:val="auto"/>
                <w:sz w:val="24"/>
                <w:highlight w:val="none"/>
              </w:rPr>
            </w:pPr>
            <w:r>
              <w:rPr>
                <w:rFonts w:hint="eastAsia" w:ascii="宋体" w:hAnsi="宋体" w:cs="宋体"/>
                <w:color w:val="auto"/>
                <w:sz w:val="24"/>
                <w:szCs w:val="24"/>
                <w:highlight w:val="none"/>
              </w:rPr>
              <w:t>磋商文件要求和供应商认为需要提供的其它说明和资料</w:t>
            </w:r>
          </w:p>
        </w:tc>
        <w:tc>
          <w:tcPr>
            <w:tcW w:w="1417" w:type="dxa"/>
            <w:vAlign w:val="center"/>
          </w:tcPr>
          <w:p w14:paraId="6DDDB56A">
            <w:pPr>
              <w:spacing w:line="360" w:lineRule="auto"/>
              <w:rPr>
                <w:rFonts w:ascii="宋体" w:hAnsi="宋体"/>
                <w:b/>
                <w:color w:val="auto"/>
                <w:sz w:val="24"/>
                <w:highlight w:val="none"/>
              </w:rPr>
            </w:pPr>
          </w:p>
        </w:tc>
      </w:tr>
    </w:tbl>
    <w:p w14:paraId="0D567C60">
      <w:pPr>
        <w:spacing w:line="360" w:lineRule="auto"/>
        <w:jc w:val="center"/>
        <w:rPr>
          <w:rFonts w:ascii="宋体" w:hAnsi="宋体"/>
          <w:b/>
          <w:color w:val="auto"/>
          <w:sz w:val="24"/>
          <w:highlight w:val="none"/>
        </w:rPr>
      </w:pPr>
    </w:p>
    <w:p w14:paraId="47BF128B">
      <w:pPr>
        <w:spacing w:line="360" w:lineRule="auto"/>
        <w:jc w:val="center"/>
        <w:rPr>
          <w:rFonts w:ascii="宋体" w:hAnsi="宋体"/>
          <w:b/>
          <w:color w:val="auto"/>
          <w:sz w:val="24"/>
          <w:highlight w:val="none"/>
        </w:rPr>
      </w:pPr>
    </w:p>
    <w:p w14:paraId="08F917FB">
      <w:pPr>
        <w:spacing w:line="360" w:lineRule="auto"/>
        <w:jc w:val="center"/>
        <w:rPr>
          <w:rFonts w:ascii="宋体" w:hAnsi="宋体"/>
          <w:b/>
          <w:color w:val="auto"/>
          <w:sz w:val="24"/>
          <w:highlight w:val="none"/>
        </w:rPr>
      </w:pPr>
    </w:p>
    <w:p w14:paraId="1D2B7D62">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58F8916C">
      <w:pPr>
        <w:pStyle w:val="5"/>
        <w:spacing w:before="0" w:after="0" w:line="560" w:lineRule="exact"/>
        <w:rPr>
          <w:rFonts w:ascii="宋体" w:hAnsi="宋体" w:eastAsia="宋体" w:cs="宋体"/>
          <w:sz w:val="24"/>
          <w:szCs w:val="24"/>
        </w:rPr>
      </w:pPr>
      <w:bookmarkStart w:id="45" w:name="_Toc26458"/>
      <w:r>
        <w:rPr>
          <w:rFonts w:hint="eastAsia" w:ascii="宋体" w:hAnsi="宋体" w:eastAsia="宋体" w:cs="宋体"/>
          <w:color w:val="auto"/>
          <w:sz w:val="24"/>
          <w:szCs w:val="24"/>
          <w:highlight w:val="none"/>
        </w:rPr>
        <w:t>附件一</w:t>
      </w:r>
      <w:bookmarkEnd w:id="45"/>
    </w:p>
    <w:p w14:paraId="23F7C577">
      <w:pPr>
        <w:pStyle w:val="5"/>
        <w:spacing w:before="0" w:after="0" w:line="560" w:lineRule="exact"/>
        <w:jc w:val="center"/>
        <w:rPr>
          <w:rFonts w:ascii="宋体" w:hAnsi="宋体" w:eastAsia="宋体" w:cs="宋体"/>
          <w:sz w:val="24"/>
          <w:szCs w:val="24"/>
        </w:rPr>
      </w:pPr>
      <w:bookmarkStart w:id="46" w:name="_Toc15830"/>
      <w:bookmarkStart w:id="47" w:name="_Toc5601"/>
      <w:bookmarkStart w:id="48" w:name="_Toc10816"/>
      <w:bookmarkStart w:id="49" w:name="_Toc4696"/>
      <w:bookmarkStart w:id="50" w:name="_Toc9181"/>
      <w:r>
        <w:rPr>
          <w:rFonts w:hint="eastAsia" w:ascii="宋体" w:hAnsi="宋体" w:eastAsia="宋体" w:cs="宋体"/>
          <w:sz w:val="24"/>
          <w:szCs w:val="24"/>
        </w:rPr>
        <w:t>报价单</w:t>
      </w:r>
      <w:bookmarkEnd w:id="46"/>
      <w:bookmarkEnd w:id="47"/>
      <w:bookmarkEnd w:id="48"/>
      <w:bookmarkEnd w:id="49"/>
      <w:bookmarkEnd w:id="50"/>
    </w:p>
    <w:p w14:paraId="3AA72086">
      <w:pPr>
        <w:rPr>
          <w:rFonts w:ascii="宋体" w:hAnsi="宋体" w:cs="宋体"/>
        </w:rPr>
      </w:pPr>
    </w:p>
    <w:tbl>
      <w:tblPr>
        <w:tblStyle w:val="34"/>
        <w:tblW w:w="7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1"/>
        <w:gridCol w:w="1185"/>
        <w:gridCol w:w="1035"/>
        <w:gridCol w:w="1110"/>
        <w:gridCol w:w="1198"/>
        <w:gridCol w:w="1262"/>
        <w:gridCol w:w="1239"/>
      </w:tblGrid>
      <w:tr w14:paraId="6A79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E8D90">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序号</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D9764">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项目名称</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E6DE0">
            <w:pPr>
              <w:keepNext w:val="0"/>
              <w:keepLines w:val="0"/>
              <w:widowControl/>
              <w:suppressLineNumbers w:val="0"/>
              <w:jc w:val="center"/>
              <w:textAlignment w:val="center"/>
              <w:rPr>
                <w:rFonts w:hint="default" w:ascii="Times New Roman" w:hAnsi="Times New Roman" w:eastAsia="宋体" w:cs="Times New Roman"/>
                <w:b/>
                <w:i w:val="0"/>
                <w:color w:val="000000"/>
                <w:sz w:val="21"/>
                <w:szCs w:val="21"/>
                <w:u w:val="none"/>
              </w:rPr>
            </w:pPr>
            <w:r>
              <w:rPr>
                <w:rFonts w:hint="default" w:ascii="Times New Roman" w:hAnsi="Times New Roman" w:eastAsia="宋体" w:cs="Times New Roman"/>
                <w:b/>
                <w:i w:val="0"/>
                <w:color w:val="000000"/>
                <w:kern w:val="0"/>
                <w:sz w:val="21"/>
                <w:szCs w:val="21"/>
                <w:u w:val="none"/>
                <w:lang w:val="en-US" w:eastAsia="zh-CN" w:bidi="ar"/>
              </w:rPr>
              <w:t>服务内容</w:t>
            </w:r>
          </w:p>
        </w:tc>
        <w:tc>
          <w:tcPr>
            <w:tcW w:w="23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44BE0">
            <w:pPr>
              <w:keepNext w:val="0"/>
              <w:keepLines w:val="0"/>
              <w:widowControl/>
              <w:suppressLineNumbers w:val="0"/>
              <w:jc w:val="center"/>
              <w:textAlignment w:val="center"/>
              <w:rPr>
                <w:rFonts w:ascii="方正仿宋简体" w:hAnsi="方正仿宋简体" w:eastAsia="方正仿宋简体" w:cs="方正仿宋简体"/>
                <w:b/>
                <w:i w:val="0"/>
                <w:color w:val="000000"/>
                <w:sz w:val="21"/>
                <w:szCs w:val="21"/>
                <w:u w:val="none"/>
              </w:rPr>
            </w:pPr>
            <w:r>
              <w:rPr>
                <w:rFonts w:hint="eastAsia" w:ascii="方正仿宋简体" w:hAnsi="方正仿宋简体" w:eastAsia="方正仿宋简体" w:cs="方正仿宋简体"/>
                <w:b/>
                <w:i w:val="0"/>
                <w:color w:val="000000"/>
                <w:kern w:val="0"/>
                <w:sz w:val="21"/>
                <w:szCs w:val="21"/>
                <w:u w:val="none"/>
                <w:lang w:val="en-US" w:eastAsia="zh-CN" w:bidi="ar"/>
              </w:rPr>
              <w:t>套餐一：固定价格</w:t>
            </w:r>
          </w:p>
        </w:tc>
        <w:tc>
          <w:tcPr>
            <w:tcW w:w="25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9B1B9">
            <w:pPr>
              <w:keepNext w:val="0"/>
              <w:keepLines w:val="0"/>
              <w:widowControl/>
              <w:suppressLineNumbers w:val="0"/>
              <w:jc w:val="center"/>
              <w:textAlignment w:val="center"/>
              <w:rPr>
                <w:rFonts w:hint="eastAsia" w:ascii="方正仿宋简体" w:hAnsi="方正仿宋简体" w:eastAsia="方正仿宋简体" w:cs="方正仿宋简体"/>
                <w:b/>
                <w:i w:val="0"/>
                <w:color w:val="000000"/>
                <w:sz w:val="21"/>
                <w:szCs w:val="21"/>
                <w:u w:val="none"/>
              </w:rPr>
            </w:pPr>
            <w:r>
              <w:rPr>
                <w:rFonts w:hint="eastAsia" w:ascii="方正仿宋简体" w:hAnsi="方正仿宋简体" w:eastAsia="方正仿宋简体" w:cs="方正仿宋简体"/>
                <w:b/>
                <w:i w:val="0"/>
                <w:color w:val="000000"/>
                <w:kern w:val="0"/>
                <w:sz w:val="21"/>
                <w:szCs w:val="21"/>
                <w:u w:val="none"/>
                <w:lang w:val="en-US" w:eastAsia="zh-CN" w:bidi="ar"/>
              </w:rPr>
              <w:t>套餐二：市场均价+浮动价格</w:t>
            </w:r>
          </w:p>
        </w:tc>
      </w:tr>
      <w:tr w14:paraId="2FDC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5"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D7D24">
            <w:pPr>
              <w:jc w:val="center"/>
              <w:rPr>
                <w:rFonts w:hint="default" w:ascii="Times New Roman" w:hAnsi="Times New Roman" w:eastAsia="宋体" w:cs="Times New Roman"/>
                <w:b/>
                <w:i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C540C">
            <w:pPr>
              <w:jc w:val="center"/>
              <w:rPr>
                <w:rFonts w:hint="default" w:ascii="Times New Roman" w:hAnsi="Times New Roman" w:eastAsia="宋体" w:cs="Times New Roman"/>
                <w:b/>
                <w:i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EF7C5">
            <w:pPr>
              <w:jc w:val="center"/>
              <w:rPr>
                <w:rFonts w:hint="default" w:ascii="Times New Roman" w:hAnsi="Times New Roman" w:eastAsia="宋体" w:cs="Times New Roman"/>
                <w:b/>
                <w:i w:val="0"/>
                <w:color w:val="000000"/>
                <w:sz w:val="21"/>
                <w:szCs w:val="21"/>
                <w:u w:val="none"/>
              </w:rPr>
            </w:pPr>
          </w:p>
        </w:tc>
        <w:tc>
          <w:tcPr>
            <w:tcW w:w="23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D1C3">
            <w:pPr>
              <w:jc w:val="center"/>
              <w:rPr>
                <w:rFonts w:hint="eastAsia" w:ascii="方正仿宋简体" w:hAnsi="方正仿宋简体" w:eastAsia="方正仿宋简体" w:cs="方正仿宋简体"/>
                <w:b/>
                <w:i w:val="0"/>
                <w:color w:val="000000"/>
                <w:sz w:val="21"/>
                <w:szCs w:val="21"/>
                <w:u w:val="none"/>
              </w:rPr>
            </w:pPr>
          </w:p>
        </w:tc>
        <w:tc>
          <w:tcPr>
            <w:tcW w:w="25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1E20">
            <w:pPr>
              <w:jc w:val="center"/>
              <w:rPr>
                <w:rFonts w:hint="eastAsia" w:ascii="方正仿宋简体" w:hAnsi="方正仿宋简体" w:eastAsia="方正仿宋简体" w:cs="方正仿宋简体"/>
                <w:b/>
                <w:i w:val="0"/>
                <w:color w:val="000000"/>
                <w:sz w:val="21"/>
                <w:szCs w:val="21"/>
                <w:u w:val="none"/>
              </w:rPr>
            </w:pPr>
          </w:p>
        </w:tc>
      </w:tr>
      <w:tr w14:paraId="0D1F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50" w:hRule="atLeast"/>
          <w:jc w:val="center"/>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99005">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24748">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1"/>
                <w:szCs w:val="21"/>
                <w:u w:val="none"/>
              </w:rPr>
            </w:pPr>
            <w:r>
              <w:rPr>
                <w:rFonts w:hint="eastAsia" w:ascii="方正仿宋简体" w:hAnsi="方正仿宋简体" w:eastAsia="方正仿宋简体" w:cs="方正仿宋简体"/>
                <w:i w:val="0"/>
                <w:color w:val="000000"/>
                <w:kern w:val="0"/>
                <w:sz w:val="21"/>
                <w:szCs w:val="21"/>
                <w:u w:val="none"/>
                <w:lang w:val="en-US" w:eastAsia="zh-CN" w:bidi="ar"/>
              </w:rPr>
              <w:t>六安市金安区妇幼保健院代理购电服务项目</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01B64">
            <w:pPr>
              <w:keepNext w:val="0"/>
              <w:keepLines w:val="0"/>
              <w:widowControl/>
              <w:suppressLineNumbers w:val="0"/>
              <w:jc w:val="center"/>
              <w:textAlignment w:val="center"/>
              <w:rPr>
                <w:rFonts w:hint="eastAsia" w:ascii="方正仿宋简体" w:hAnsi="方正仿宋简体" w:eastAsia="方正仿宋简体" w:cs="方正仿宋简体"/>
                <w:i w:val="0"/>
                <w:color w:val="000000"/>
                <w:sz w:val="21"/>
                <w:szCs w:val="21"/>
                <w:u w:val="none"/>
              </w:rPr>
            </w:pPr>
            <w:r>
              <w:rPr>
                <w:rFonts w:hint="eastAsia" w:ascii="方正仿宋简体" w:hAnsi="方正仿宋简体" w:eastAsia="方正仿宋简体" w:cs="方正仿宋简体"/>
                <w:i w:val="0"/>
                <w:color w:val="000000"/>
                <w:kern w:val="0"/>
                <w:sz w:val="21"/>
                <w:szCs w:val="21"/>
                <w:u w:val="none"/>
                <w:lang w:val="en-US" w:eastAsia="zh-CN" w:bidi="ar"/>
              </w:rPr>
              <w:t>代理售电服务</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44E5B">
            <w:pPr>
              <w:keepNext w:val="0"/>
              <w:keepLines w:val="0"/>
              <w:widowControl/>
              <w:suppressLineNumbers w:val="0"/>
              <w:jc w:val="center"/>
              <w:textAlignment w:val="center"/>
              <w:rPr>
                <w:rFonts w:hint="eastAsia" w:ascii="方正仿宋简体" w:hAnsi="方正仿宋简体" w:eastAsia="方正仿宋简体" w:cs="方正仿宋简体"/>
                <w:b/>
                <w:i w:val="0"/>
                <w:color w:val="auto"/>
                <w:sz w:val="21"/>
                <w:szCs w:val="21"/>
                <w:u w:val="none"/>
              </w:rPr>
            </w:pPr>
            <w:r>
              <w:rPr>
                <w:rFonts w:hint="eastAsia" w:ascii="方正仿宋简体" w:hAnsi="方正仿宋简体" w:eastAsia="方正仿宋简体" w:cs="方正仿宋简体"/>
                <w:b/>
                <w:i w:val="0"/>
                <w:color w:val="auto"/>
                <w:kern w:val="0"/>
                <w:sz w:val="21"/>
                <w:szCs w:val="21"/>
                <w:u w:val="none"/>
                <w:lang w:val="en-US" w:eastAsia="zh-CN" w:bidi="ar"/>
              </w:rPr>
              <w:t>套餐一： 固定价格元/兆瓦时</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8DD22">
            <w:pPr>
              <w:keepNext w:val="0"/>
              <w:keepLines w:val="0"/>
              <w:widowControl/>
              <w:suppressLineNumbers w:val="0"/>
              <w:jc w:val="center"/>
              <w:textAlignment w:val="center"/>
              <w:rPr>
                <w:rFonts w:hint="eastAsia" w:ascii="方正仿宋简体" w:hAnsi="方正仿宋简体" w:eastAsia="方正仿宋简体" w:cs="方正仿宋简体"/>
                <w:b/>
                <w:i w:val="0"/>
                <w:color w:val="auto"/>
                <w:sz w:val="21"/>
                <w:szCs w:val="21"/>
                <w:u w:val="none"/>
              </w:rPr>
            </w:pPr>
            <w:r>
              <w:rPr>
                <w:rFonts w:hint="eastAsia" w:ascii="方正仿宋简体" w:hAnsi="方正仿宋简体" w:eastAsia="方正仿宋简体" w:cs="方正仿宋简体"/>
                <w:b/>
                <w:i w:val="0"/>
                <w:color w:val="auto"/>
                <w:kern w:val="0"/>
                <w:sz w:val="21"/>
                <w:szCs w:val="21"/>
                <w:u w:val="none"/>
                <w:lang w:val="en-US" w:eastAsia="zh-CN" w:bidi="ar"/>
              </w:rPr>
              <w:t>套餐一： 电能量比例系数</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29092">
            <w:pPr>
              <w:keepNext w:val="0"/>
              <w:keepLines w:val="0"/>
              <w:widowControl/>
              <w:suppressLineNumbers w:val="0"/>
              <w:jc w:val="center"/>
              <w:textAlignment w:val="center"/>
              <w:rPr>
                <w:rFonts w:hint="eastAsia" w:ascii="方正仿宋简体" w:hAnsi="方正仿宋简体" w:eastAsia="方正仿宋简体" w:cs="方正仿宋简体"/>
                <w:b/>
                <w:i w:val="0"/>
                <w:color w:val="auto"/>
                <w:kern w:val="0"/>
                <w:sz w:val="21"/>
                <w:szCs w:val="21"/>
                <w:u w:val="none"/>
                <w:lang w:val="en-US" w:eastAsia="zh-CN" w:bidi="ar"/>
              </w:rPr>
            </w:pPr>
            <w:r>
              <w:rPr>
                <w:rFonts w:hint="eastAsia" w:ascii="方正仿宋简体" w:hAnsi="方正仿宋简体" w:eastAsia="方正仿宋简体" w:cs="方正仿宋简体"/>
                <w:b/>
                <w:i w:val="0"/>
                <w:color w:val="auto"/>
                <w:kern w:val="0"/>
                <w:sz w:val="21"/>
                <w:szCs w:val="21"/>
                <w:u w:val="none"/>
                <w:lang w:val="en-US" w:eastAsia="zh-CN" w:bidi="ar"/>
              </w:rPr>
              <w:t>套餐二：  市场均价元/兆瓦时</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00A5">
            <w:pPr>
              <w:keepNext w:val="0"/>
              <w:keepLines w:val="0"/>
              <w:widowControl/>
              <w:suppressLineNumbers w:val="0"/>
              <w:jc w:val="center"/>
              <w:textAlignment w:val="center"/>
              <w:rPr>
                <w:rFonts w:hint="eastAsia" w:ascii="方正仿宋简体" w:hAnsi="方正仿宋简体" w:eastAsia="方正仿宋简体" w:cs="方正仿宋简体"/>
                <w:b/>
                <w:i w:val="0"/>
                <w:color w:val="auto"/>
                <w:kern w:val="0"/>
                <w:sz w:val="21"/>
                <w:szCs w:val="21"/>
                <w:u w:val="none"/>
                <w:lang w:val="en-US" w:eastAsia="zh-CN" w:bidi="ar"/>
              </w:rPr>
            </w:pPr>
            <w:r>
              <w:rPr>
                <w:rFonts w:hint="eastAsia" w:ascii="方正仿宋简体" w:hAnsi="方正仿宋简体" w:eastAsia="方正仿宋简体" w:cs="方正仿宋简体"/>
                <w:b/>
                <w:i w:val="0"/>
                <w:color w:val="auto"/>
                <w:kern w:val="0"/>
                <w:sz w:val="21"/>
                <w:szCs w:val="21"/>
                <w:u w:val="none"/>
                <w:lang w:val="en-US" w:eastAsia="zh-CN" w:bidi="ar"/>
              </w:rPr>
              <w:t>套餐二：  浮动价格元/兆瓦时</w:t>
            </w:r>
          </w:p>
        </w:tc>
      </w:tr>
      <w:tr w14:paraId="1A07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1" w:hRule="atLeast"/>
          <w:jc w:val="center"/>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96C8">
            <w:pPr>
              <w:jc w:val="center"/>
              <w:rPr>
                <w:rFonts w:hint="default" w:ascii="Times New Roman" w:hAnsi="Times New Roman" w:eastAsia="宋体" w:cs="Times New Roman"/>
                <w:i w:val="0"/>
                <w:color w:val="000000"/>
                <w:sz w:val="21"/>
                <w:szCs w:val="21"/>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259BD">
            <w:pPr>
              <w:jc w:val="center"/>
              <w:rPr>
                <w:rFonts w:hint="eastAsia" w:ascii="方正仿宋简体" w:hAnsi="方正仿宋简体" w:eastAsia="方正仿宋简体" w:cs="方正仿宋简体"/>
                <w:i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9E6E9">
            <w:pPr>
              <w:jc w:val="center"/>
              <w:rPr>
                <w:rFonts w:hint="eastAsia" w:ascii="方正仿宋简体" w:hAnsi="方正仿宋简体" w:eastAsia="方正仿宋简体" w:cs="方正仿宋简体"/>
                <w:i w:val="0"/>
                <w:color w:val="000000"/>
                <w:sz w:val="21"/>
                <w:szCs w:val="21"/>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08560">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D1607">
            <w:pPr>
              <w:keepNext w:val="0"/>
              <w:keepLines w:val="0"/>
              <w:widowControl/>
              <w:suppressLineNumbers w:val="0"/>
              <w:jc w:val="center"/>
              <w:textAlignment w:val="center"/>
              <w:rPr>
                <w:rFonts w:hint="eastAsia" w:ascii="方正仿宋简体" w:hAnsi="方正仿宋简体" w:eastAsia="方正仿宋简体" w:cs="方正仿宋简体"/>
                <w:b/>
                <w:i w:val="0"/>
                <w:color w:val="auto"/>
                <w:sz w:val="21"/>
                <w:szCs w:val="21"/>
                <w:u w:val="none"/>
              </w:rPr>
            </w:pPr>
            <w:r>
              <w:rPr>
                <w:rFonts w:hint="eastAsia" w:ascii="方正仿宋简体" w:hAnsi="方正仿宋简体" w:eastAsia="方正仿宋简体" w:cs="方正仿宋简体"/>
                <w:b/>
                <w:i w:val="0"/>
                <w:color w:val="auto"/>
                <w:kern w:val="0"/>
                <w:sz w:val="21"/>
                <w:szCs w:val="21"/>
                <w:u w:val="none"/>
                <w:lang w:val="en-US" w:eastAsia="zh-CN" w:bidi="ar"/>
              </w:rPr>
              <w:t>50%</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332CD">
            <w:pPr>
              <w:keepNext w:val="0"/>
              <w:keepLines w:val="0"/>
              <w:widowControl/>
              <w:suppressLineNumbers w:val="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全体售电公司批发侧加权均价</w:t>
            </w:r>
          </w:p>
        </w:tc>
        <w:tc>
          <w:tcPr>
            <w:tcW w:w="1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F0DFE">
            <w:pPr>
              <w:keepNext w:val="0"/>
              <w:keepLines w:val="0"/>
              <w:widowControl/>
              <w:suppressLineNumbers w:val="0"/>
              <w:jc w:val="center"/>
              <w:textAlignment w:val="center"/>
              <w:rPr>
                <w:rFonts w:hint="default" w:ascii="Times New Roman" w:hAnsi="Times New Roman" w:eastAsia="宋体" w:cs="Times New Roman"/>
                <w:i w:val="0"/>
                <w:color w:val="auto"/>
                <w:sz w:val="21"/>
                <w:szCs w:val="21"/>
                <w:u w:val="none"/>
              </w:rPr>
            </w:pPr>
            <w:r>
              <w:rPr>
                <w:rFonts w:hint="eastAsia" w:cs="Times New Roman"/>
                <w:b/>
                <w:bCs/>
                <w:i w:val="0"/>
                <w:color w:val="auto"/>
                <w:kern w:val="0"/>
                <w:sz w:val="21"/>
                <w:szCs w:val="21"/>
                <w:u w:val="none"/>
                <w:lang w:val="en-US" w:eastAsia="zh-CN" w:bidi="ar"/>
              </w:rPr>
              <w:t>0</w:t>
            </w:r>
          </w:p>
        </w:tc>
      </w:tr>
    </w:tbl>
    <w:p w14:paraId="07D0583B">
      <w:pPr>
        <w:pStyle w:val="18"/>
        <w:spacing w:line="360" w:lineRule="auto"/>
        <w:rPr>
          <w:rFonts w:ascii="宋体" w:hAnsi="宋体" w:eastAsia="宋体" w:cs="宋体"/>
          <w:b/>
          <w:bCs/>
          <w:sz w:val="24"/>
        </w:rPr>
      </w:pPr>
    </w:p>
    <w:p w14:paraId="22CD23ED">
      <w:pPr>
        <w:pStyle w:val="18"/>
        <w:spacing w:line="560" w:lineRule="exact"/>
        <w:rPr>
          <w:rFonts w:ascii="宋体" w:hAnsi="宋体" w:eastAsia="宋体" w:cs="宋体"/>
          <w:b/>
          <w:bCs/>
          <w:sz w:val="24"/>
          <w:szCs w:val="28"/>
        </w:rPr>
      </w:pPr>
      <w:r>
        <w:rPr>
          <w:rFonts w:hint="eastAsia" w:ascii="宋体" w:hAnsi="宋体" w:eastAsia="宋体" w:cs="宋体"/>
          <w:b/>
          <w:bCs/>
          <w:sz w:val="24"/>
        </w:rPr>
        <w:t>供应商签章：</w:t>
      </w:r>
    </w:p>
    <w:p w14:paraId="472ECE4D">
      <w:pPr>
        <w:adjustRightInd w:val="0"/>
        <w:snapToGrid w:val="0"/>
        <w:spacing w:line="560" w:lineRule="exact"/>
        <w:rPr>
          <w:rFonts w:ascii="宋体" w:hAnsi="宋体" w:cs="宋体"/>
          <w:b/>
          <w:bCs/>
          <w:sz w:val="24"/>
          <w:szCs w:val="28"/>
        </w:rPr>
      </w:pPr>
      <w:r>
        <w:rPr>
          <w:rFonts w:hint="eastAsia" w:ascii="宋体" w:hAnsi="宋体" w:cs="宋体"/>
          <w:b/>
          <w:bCs/>
          <w:sz w:val="24"/>
          <w:szCs w:val="28"/>
        </w:rPr>
        <w:t>日  期：   年   月   日</w:t>
      </w:r>
    </w:p>
    <w:p w14:paraId="6406C4F8">
      <w:pPr>
        <w:adjustRightInd w:val="0"/>
        <w:snapToGrid w:val="0"/>
        <w:spacing w:line="360" w:lineRule="auto"/>
        <w:rPr>
          <w:rFonts w:ascii="宋体" w:hAnsi="宋体" w:cs="宋体"/>
          <w:b/>
          <w:bCs/>
          <w:sz w:val="24"/>
          <w:szCs w:val="28"/>
        </w:rPr>
      </w:pPr>
    </w:p>
    <w:p w14:paraId="52815711">
      <w:pPr>
        <w:adjustRightInd w:val="0"/>
        <w:snapToGrid w:val="0"/>
        <w:spacing w:line="360" w:lineRule="auto"/>
        <w:rPr>
          <w:rFonts w:ascii="宋体" w:hAnsi="宋体" w:cs="宋体"/>
          <w:b/>
          <w:sz w:val="24"/>
          <w:szCs w:val="24"/>
        </w:rPr>
      </w:pPr>
      <w:bookmarkStart w:id="51" w:name="_Toc16998"/>
      <w:bookmarkStart w:id="52" w:name="_Toc2007"/>
    </w:p>
    <w:p w14:paraId="4F99E0B2">
      <w:pPr>
        <w:adjustRightInd w:val="0"/>
        <w:snapToGrid w:val="0"/>
        <w:spacing w:line="360" w:lineRule="auto"/>
        <w:rPr>
          <w:rFonts w:hint="default" w:ascii="宋体" w:hAnsi="宋体" w:eastAsia="宋体" w:cs="宋体"/>
          <w:b/>
          <w:color w:val="auto"/>
          <w:sz w:val="24"/>
          <w:szCs w:val="24"/>
          <w:lang w:val="en-US" w:eastAsia="zh-CN"/>
        </w:rPr>
      </w:pPr>
      <w:r>
        <w:rPr>
          <w:rFonts w:hint="eastAsia" w:ascii="宋体" w:hAnsi="宋体" w:cs="宋体"/>
          <w:b/>
          <w:sz w:val="24"/>
          <w:szCs w:val="24"/>
        </w:rPr>
        <w:t>注：</w:t>
      </w:r>
      <w:r>
        <w:rPr>
          <w:rFonts w:hint="eastAsia" w:ascii="宋体" w:hAnsi="宋体" w:cs="宋体"/>
          <w:b/>
          <w:sz w:val="24"/>
          <w:szCs w:val="24"/>
          <w:lang w:val="en-US" w:eastAsia="zh-CN"/>
        </w:rPr>
        <w:t>1.</w:t>
      </w:r>
      <w:r>
        <w:rPr>
          <w:rFonts w:hint="eastAsia" w:ascii="宋体" w:hAnsi="宋体" w:cs="宋体"/>
          <w:b/>
          <w:color w:val="auto"/>
          <w:sz w:val="24"/>
          <w:szCs w:val="24"/>
        </w:rPr>
        <w:t>表中所列服务为对应本项目需求的全部服务内容。如有漏项或缺项，供应商承担全部责任。</w:t>
      </w:r>
      <w:r>
        <w:rPr>
          <w:rFonts w:hint="eastAsia" w:ascii="宋体" w:hAnsi="宋体" w:cs="宋体"/>
          <w:b/>
          <w:color w:val="auto"/>
          <w:sz w:val="24"/>
          <w:szCs w:val="24"/>
          <w:lang w:val="en-US" w:eastAsia="zh-CN"/>
        </w:rPr>
        <w:t>2.其他要求:安徽电力零售市场代理合同所有内容不得留白，不涉及内容打下划线。</w:t>
      </w:r>
    </w:p>
    <w:p w14:paraId="40ED96AD">
      <w:pPr>
        <w:pStyle w:val="5"/>
        <w:wordWrap w:val="0"/>
        <w:spacing w:before="0" w:after="0" w:line="520" w:lineRule="exact"/>
        <w:rPr>
          <w:rFonts w:ascii="宋体" w:hAnsi="宋体" w:eastAsia="宋体" w:cs="宋体"/>
          <w:color w:val="FF0000"/>
          <w:sz w:val="24"/>
          <w:szCs w:val="24"/>
        </w:rPr>
      </w:pPr>
    </w:p>
    <w:p w14:paraId="402531BC">
      <w:pPr>
        <w:pStyle w:val="5"/>
        <w:wordWrap w:val="0"/>
        <w:spacing w:before="0" w:after="0" w:line="520" w:lineRule="exact"/>
        <w:rPr>
          <w:rFonts w:ascii="宋体" w:hAnsi="宋体" w:eastAsia="宋体" w:cs="宋体"/>
          <w:sz w:val="24"/>
          <w:szCs w:val="24"/>
        </w:rPr>
      </w:pPr>
    </w:p>
    <w:p w14:paraId="388FC14C">
      <w:pPr>
        <w:pStyle w:val="5"/>
        <w:wordWrap w:val="0"/>
        <w:spacing w:before="0" w:after="0" w:line="520" w:lineRule="exact"/>
        <w:rPr>
          <w:rFonts w:ascii="宋体" w:hAnsi="宋体" w:eastAsia="宋体" w:cs="宋体"/>
          <w:sz w:val="24"/>
          <w:szCs w:val="24"/>
        </w:rPr>
      </w:pPr>
    </w:p>
    <w:p w14:paraId="234E9373">
      <w:pPr>
        <w:pStyle w:val="5"/>
        <w:wordWrap w:val="0"/>
        <w:spacing w:before="0" w:after="0" w:line="520" w:lineRule="exact"/>
        <w:rPr>
          <w:rFonts w:ascii="宋体" w:hAnsi="宋体" w:eastAsia="宋体" w:cs="宋体"/>
          <w:sz w:val="24"/>
          <w:szCs w:val="24"/>
        </w:rPr>
      </w:pPr>
      <w:r>
        <w:rPr>
          <w:rFonts w:hint="eastAsia" w:ascii="宋体" w:hAnsi="宋体" w:eastAsia="宋体" w:cs="宋体"/>
          <w:sz w:val="24"/>
          <w:szCs w:val="24"/>
        </w:rPr>
        <w:br w:type="page"/>
      </w:r>
      <w:bookmarkStart w:id="53" w:name="_Toc5394"/>
      <w:r>
        <w:rPr>
          <w:rFonts w:hint="eastAsia" w:ascii="宋体" w:hAnsi="宋体" w:eastAsia="宋体" w:cs="宋体"/>
          <w:sz w:val="24"/>
          <w:szCs w:val="24"/>
        </w:rPr>
        <w:t>附件二</w:t>
      </w:r>
      <w:bookmarkEnd w:id="51"/>
      <w:bookmarkEnd w:id="52"/>
      <w:bookmarkEnd w:id="53"/>
    </w:p>
    <w:p w14:paraId="589A0F43">
      <w:pPr>
        <w:pStyle w:val="5"/>
        <w:spacing w:before="0" w:after="0" w:line="520" w:lineRule="exact"/>
        <w:jc w:val="center"/>
        <w:rPr>
          <w:rFonts w:ascii="宋体" w:hAnsi="宋体" w:eastAsia="宋体" w:cs="宋体"/>
          <w:sz w:val="24"/>
          <w:szCs w:val="24"/>
        </w:rPr>
      </w:pPr>
      <w:bookmarkStart w:id="54" w:name="_Toc17280"/>
      <w:bookmarkStart w:id="55" w:name="_Toc29464"/>
      <w:bookmarkStart w:id="56" w:name="_Toc10648"/>
      <w:bookmarkStart w:id="57" w:name="_Toc3262"/>
      <w:bookmarkStart w:id="58" w:name="_Toc30073"/>
      <w:r>
        <w:rPr>
          <w:rFonts w:hint="eastAsia" w:ascii="宋体" w:hAnsi="宋体" w:eastAsia="宋体" w:cs="宋体"/>
          <w:sz w:val="24"/>
          <w:szCs w:val="24"/>
        </w:rPr>
        <w:t>供应商基本信息</w:t>
      </w:r>
      <w:bookmarkEnd w:id="54"/>
      <w:bookmarkEnd w:id="55"/>
      <w:bookmarkEnd w:id="56"/>
      <w:bookmarkEnd w:id="57"/>
      <w:bookmarkEnd w:id="58"/>
    </w:p>
    <w:p w14:paraId="5446EA2F">
      <w:pPr>
        <w:pStyle w:val="2"/>
        <w:spacing w:after="0" w:line="520" w:lineRule="exact"/>
        <w:ind w:firstLine="0"/>
        <w:jc w:val="center"/>
        <w:rPr>
          <w:rFonts w:ascii="宋体" w:hAnsi="宋体" w:cs="宋体"/>
        </w:rPr>
      </w:pPr>
      <w:r>
        <w:rPr>
          <w:rFonts w:hint="eastAsia" w:ascii="宋体" w:hAnsi="宋体" w:cs="宋体"/>
        </w:rPr>
        <w:t>（自行上传市场主体信息库信息）</w:t>
      </w:r>
    </w:p>
    <w:p w14:paraId="7484816A">
      <w:pPr>
        <w:pStyle w:val="5"/>
        <w:wordWrap w:val="0"/>
        <w:spacing w:before="0" w:after="0" w:line="520" w:lineRule="exact"/>
        <w:rPr>
          <w:rFonts w:ascii="宋体" w:hAnsi="宋体" w:eastAsia="宋体" w:cs="宋体"/>
          <w:sz w:val="24"/>
          <w:szCs w:val="24"/>
        </w:rPr>
      </w:pPr>
      <w:bookmarkStart w:id="59" w:name="_Toc18369"/>
      <w:bookmarkStart w:id="60" w:name="_Toc11062"/>
      <w:bookmarkStart w:id="61" w:name="_Toc2009"/>
      <w:r>
        <w:rPr>
          <w:rFonts w:hint="eastAsia" w:ascii="宋体" w:hAnsi="宋体" w:eastAsia="宋体" w:cs="宋体"/>
          <w:sz w:val="24"/>
          <w:szCs w:val="24"/>
        </w:rPr>
        <w:t>附件三</w:t>
      </w:r>
      <w:bookmarkEnd w:id="59"/>
      <w:bookmarkEnd w:id="60"/>
      <w:bookmarkEnd w:id="61"/>
    </w:p>
    <w:p w14:paraId="76DE3B67">
      <w:pPr>
        <w:pStyle w:val="5"/>
        <w:spacing w:before="0" w:after="0" w:line="520" w:lineRule="exact"/>
        <w:jc w:val="center"/>
        <w:rPr>
          <w:rFonts w:ascii="宋体" w:hAnsi="宋体" w:eastAsia="宋体" w:cs="宋体"/>
          <w:sz w:val="24"/>
          <w:szCs w:val="24"/>
        </w:rPr>
      </w:pPr>
      <w:bookmarkStart w:id="62" w:name="_Toc10696"/>
      <w:bookmarkStart w:id="63" w:name="_Toc967"/>
      <w:bookmarkStart w:id="64" w:name="_Toc30135"/>
      <w:bookmarkStart w:id="65" w:name="_Toc28395"/>
      <w:bookmarkStart w:id="66" w:name="_Toc13141"/>
      <w:r>
        <w:rPr>
          <w:rFonts w:hint="eastAsia" w:ascii="宋体" w:hAnsi="宋体" w:eastAsia="宋体" w:cs="宋体"/>
          <w:sz w:val="24"/>
          <w:szCs w:val="24"/>
        </w:rPr>
        <w:t>磋商授权书</w:t>
      </w:r>
      <w:bookmarkEnd w:id="62"/>
      <w:bookmarkEnd w:id="63"/>
      <w:bookmarkEnd w:id="64"/>
      <w:bookmarkEnd w:id="65"/>
      <w:bookmarkEnd w:id="66"/>
    </w:p>
    <w:p w14:paraId="4B536EC1">
      <w:pPr>
        <w:spacing w:line="520" w:lineRule="exact"/>
        <w:rPr>
          <w:rFonts w:ascii="宋体" w:hAnsi="宋体" w:cs="宋体"/>
          <w:sz w:val="24"/>
          <w:szCs w:val="24"/>
        </w:rPr>
      </w:pPr>
    </w:p>
    <w:p w14:paraId="620970B7">
      <w:pPr>
        <w:spacing w:line="520" w:lineRule="exact"/>
        <w:jc w:val="left"/>
        <w:rPr>
          <w:rFonts w:ascii="宋体" w:hAnsi="宋体" w:cs="宋体"/>
          <w:sz w:val="24"/>
          <w:szCs w:val="24"/>
        </w:rPr>
      </w:pPr>
      <w:r>
        <w:rPr>
          <w:rFonts w:hint="eastAsia" w:ascii="宋体" w:hAnsi="宋体" w:cs="宋体"/>
          <w:sz w:val="24"/>
          <w:szCs w:val="24"/>
        </w:rPr>
        <w:t>致：_________________</w:t>
      </w:r>
    </w:p>
    <w:p w14:paraId="16C6C556">
      <w:pPr>
        <w:spacing w:line="520" w:lineRule="exact"/>
        <w:ind w:firstLine="480" w:firstLineChars="200"/>
        <w:jc w:val="left"/>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（供应商名称）的</w:t>
      </w:r>
      <w:r>
        <w:rPr>
          <w:rFonts w:hint="eastAsia" w:ascii="宋体" w:hAnsi="宋体" w:cs="宋体"/>
          <w:sz w:val="24"/>
          <w:szCs w:val="24"/>
          <w:u w:val="single"/>
        </w:rPr>
        <w:t xml:space="preserve">        </w:t>
      </w:r>
      <w:r>
        <w:rPr>
          <w:rFonts w:hint="eastAsia" w:ascii="宋体" w:hAnsi="宋体" w:cs="宋体"/>
          <w:sz w:val="24"/>
          <w:szCs w:val="24"/>
        </w:rPr>
        <w:t>（法定代表人姓名）授权</w:t>
      </w:r>
      <w:r>
        <w:rPr>
          <w:rFonts w:hint="eastAsia" w:ascii="宋体" w:hAnsi="宋体" w:cs="宋体"/>
          <w:sz w:val="24"/>
          <w:szCs w:val="24"/>
          <w:u w:val="single"/>
        </w:rPr>
        <w:t xml:space="preserve">         </w:t>
      </w:r>
      <w:r>
        <w:rPr>
          <w:rFonts w:hint="eastAsia" w:ascii="宋体" w:hAnsi="宋体" w:cs="宋体"/>
          <w:sz w:val="24"/>
          <w:szCs w:val="24"/>
        </w:rPr>
        <w:t>（被授权人的姓名）为我方就</w:t>
      </w:r>
      <w:r>
        <w:rPr>
          <w:rFonts w:hint="eastAsia" w:ascii="宋体" w:hAnsi="宋体" w:cs="宋体"/>
          <w:sz w:val="24"/>
          <w:szCs w:val="24"/>
          <w:u w:val="single"/>
        </w:rPr>
        <w:t xml:space="preserve">         </w:t>
      </w:r>
      <w:r>
        <w:rPr>
          <w:rFonts w:hint="eastAsia" w:ascii="宋体" w:hAnsi="宋体" w:cs="宋体"/>
          <w:sz w:val="24"/>
          <w:szCs w:val="24"/>
        </w:rPr>
        <w:t>（编号：</w:t>
      </w:r>
      <w:r>
        <w:rPr>
          <w:rFonts w:hint="eastAsia" w:ascii="宋体" w:hAnsi="宋体" w:cs="宋体"/>
          <w:sz w:val="24"/>
          <w:szCs w:val="24"/>
          <w:u w:val="single"/>
        </w:rPr>
        <w:t xml:space="preserve">           </w:t>
      </w:r>
      <w:r>
        <w:rPr>
          <w:rFonts w:hint="eastAsia" w:ascii="宋体" w:hAnsi="宋体" w:cs="宋体"/>
          <w:sz w:val="24"/>
          <w:szCs w:val="24"/>
        </w:rPr>
        <w:t>）项目磋商活动的合法代理人，以我方名义全权处理与该项目磋商、签订合同以及合同执行有关的一切事务。</w:t>
      </w:r>
    </w:p>
    <w:p w14:paraId="4DFF3296">
      <w:pPr>
        <w:spacing w:line="520" w:lineRule="exact"/>
        <w:ind w:firstLine="480" w:firstLineChars="200"/>
        <w:jc w:val="left"/>
        <w:rPr>
          <w:rFonts w:ascii="宋体" w:hAnsi="宋体" w:cs="宋体"/>
          <w:sz w:val="24"/>
          <w:szCs w:val="24"/>
        </w:rPr>
      </w:pPr>
      <w:r>
        <w:rPr>
          <w:rFonts w:hint="eastAsia" w:ascii="宋体" w:hAnsi="宋体" w:cs="宋体"/>
          <w:sz w:val="24"/>
          <w:szCs w:val="24"/>
        </w:rPr>
        <w:t>特此声明。</w:t>
      </w:r>
    </w:p>
    <w:p w14:paraId="46E58800">
      <w:pPr>
        <w:spacing w:line="520" w:lineRule="exact"/>
        <w:jc w:val="left"/>
        <w:rPr>
          <w:rFonts w:ascii="宋体" w:hAnsi="宋体" w:cs="宋体"/>
          <w:sz w:val="24"/>
          <w:szCs w:val="24"/>
        </w:rPr>
      </w:pPr>
    </w:p>
    <w:p w14:paraId="36387F3A">
      <w:pPr>
        <w:spacing w:line="520" w:lineRule="exact"/>
        <w:ind w:firstLine="1084" w:firstLineChars="450"/>
        <w:jc w:val="left"/>
        <w:rPr>
          <w:rFonts w:ascii="宋体" w:hAnsi="宋体" w:cs="宋体"/>
          <w:sz w:val="24"/>
          <w:szCs w:val="24"/>
          <w:u w:val="single"/>
        </w:rPr>
      </w:pPr>
      <w:r>
        <w:rPr>
          <w:rFonts w:hint="eastAsia" w:ascii="宋体" w:hAnsi="宋体" w:cs="宋体"/>
          <w:b/>
          <w:bCs/>
          <w:sz w:val="24"/>
          <w:szCs w:val="24"/>
        </w:rPr>
        <w:t>法定代表人签字：</w:t>
      </w:r>
      <w:r>
        <w:rPr>
          <w:rFonts w:hint="eastAsia" w:ascii="宋体" w:hAnsi="宋体" w:cs="宋体"/>
          <w:sz w:val="24"/>
          <w:szCs w:val="24"/>
          <w:u w:val="single"/>
        </w:rPr>
        <w:t xml:space="preserve">                            </w:t>
      </w:r>
    </w:p>
    <w:p w14:paraId="5355C9DA">
      <w:pPr>
        <w:spacing w:line="520" w:lineRule="exact"/>
        <w:jc w:val="left"/>
        <w:rPr>
          <w:rFonts w:ascii="宋体" w:hAnsi="宋体" w:cs="宋体"/>
          <w:sz w:val="24"/>
          <w:szCs w:val="24"/>
          <w:u w:val="single"/>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561B8D23">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7C123DE4">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7DF7E4C3">
      <w:pPr>
        <w:spacing w:line="520" w:lineRule="exact"/>
        <w:ind w:firstLine="1084" w:firstLineChars="450"/>
        <w:jc w:val="left"/>
        <w:rPr>
          <w:rFonts w:ascii="宋体" w:hAnsi="宋体" w:cs="宋体"/>
          <w:b/>
          <w:bCs/>
          <w:sz w:val="24"/>
          <w:szCs w:val="24"/>
        </w:rPr>
      </w:pPr>
    </w:p>
    <w:p w14:paraId="4F7FD679">
      <w:pPr>
        <w:spacing w:line="520" w:lineRule="exact"/>
        <w:ind w:firstLine="1084" w:firstLineChars="450"/>
        <w:jc w:val="left"/>
        <w:rPr>
          <w:rFonts w:ascii="宋体" w:hAnsi="宋体" w:cs="宋体"/>
          <w:sz w:val="24"/>
          <w:szCs w:val="24"/>
        </w:rPr>
      </w:pPr>
      <w:r>
        <w:rPr>
          <w:rFonts w:hint="eastAsia" w:ascii="宋体" w:hAnsi="宋体" w:cs="宋体"/>
          <w:b/>
          <w:bCs/>
          <w:sz w:val="24"/>
          <w:szCs w:val="24"/>
        </w:rPr>
        <w:t>代理人（被授权人）：</w:t>
      </w:r>
      <w:r>
        <w:rPr>
          <w:rFonts w:hint="eastAsia" w:ascii="宋体" w:hAnsi="宋体" w:cs="宋体"/>
          <w:sz w:val="24"/>
          <w:szCs w:val="24"/>
          <w:u w:val="single"/>
        </w:rPr>
        <w:t xml:space="preserve">                     </w:t>
      </w:r>
    </w:p>
    <w:p w14:paraId="5812A30C">
      <w:pPr>
        <w:spacing w:line="520" w:lineRule="exact"/>
        <w:jc w:val="left"/>
        <w:rPr>
          <w:rFonts w:ascii="宋体" w:hAnsi="宋体" w:cs="宋体"/>
          <w:sz w:val="24"/>
          <w:szCs w:val="24"/>
        </w:rPr>
      </w:pPr>
      <w:r>
        <w:rPr>
          <w:rFonts w:hint="eastAsia" w:ascii="宋体" w:hAnsi="宋体" w:cs="宋体"/>
          <w:sz w:val="24"/>
          <w:szCs w:val="24"/>
        </w:rPr>
        <w:t xml:space="preserve">          职    务：</w:t>
      </w:r>
      <w:r>
        <w:rPr>
          <w:rFonts w:hint="eastAsia" w:ascii="宋体" w:hAnsi="宋体" w:cs="宋体"/>
          <w:sz w:val="24"/>
          <w:szCs w:val="24"/>
          <w:u w:val="single"/>
        </w:rPr>
        <w:t xml:space="preserve">                         </w:t>
      </w:r>
    </w:p>
    <w:p w14:paraId="745D53DF">
      <w:pPr>
        <w:spacing w:line="520" w:lineRule="exact"/>
        <w:jc w:val="left"/>
        <w:rPr>
          <w:rFonts w:ascii="宋体" w:hAnsi="宋体" w:cs="宋体"/>
          <w:sz w:val="24"/>
          <w:szCs w:val="24"/>
          <w:u w:val="single"/>
        </w:rPr>
      </w:pPr>
      <w:r>
        <w:rPr>
          <w:rFonts w:hint="eastAsia" w:ascii="宋体" w:hAnsi="宋体" w:cs="宋体"/>
          <w:sz w:val="24"/>
          <w:szCs w:val="24"/>
        </w:rPr>
        <w:t xml:space="preserve">          联系手机：</w:t>
      </w:r>
      <w:r>
        <w:rPr>
          <w:rFonts w:hint="eastAsia" w:ascii="宋体" w:hAnsi="宋体" w:cs="宋体"/>
          <w:sz w:val="24"/>
          <w:szCs w:val="24"/>
          <w:u w:val="single"/>
        </w:rPr>
        <w:t xml:space="preserve">                          </w:t>
      </w:r>
    </w:p>
    <w:p w14:paraId="1346C057">
      <w:pPr>
        <w:spacing w:line="520" w:lineRule="exact"/>
        <w:ind w:firstLine="1200" w:firstLineChars="500"/>
        <w:jc w:val="left"/>
        <w:rPr>
          <w:rFonts w:ascii="宋体" w:hAnsi="宋体" w:cs="宋体"/>
          <w:sz w:val="24"/>
          <w:szCs w:val="24"/>
          <w:u w:val="single"/>
        </w:rPr>
      </w:pPr>
      <w:r>
        <w:rPr>
          <w:rFonts w:hint="eastAsia" w:ascii="宋体" w:hAnsi="宋体" w:cs="宋体"/>
          <w:sz w:val="24"/>
          <w:szCs w:val="24"/>
        </w:rPr>
        <w:t>固定电话：</w:t>
      </w:r>
      <w:r>
        <w:rPr>
          <w:rFonts w:hint="eastAsia" w:ascii="宋体" w:hAnsi="宋体" w:cs="宋体"/>
          <w:sz w:val="24"/>
          <w:szCs w:val="24"/>
          <w:u w:val="single"/>
        </w:rPr>
        <w:t xml:space="preserve">                          </w:t>
      </w:r>
    </w:p>
    <w:p w14:paraId="5F7D80CA">
      <w:pPr>
        <w:spacing w:line="520" w:lineRule="exact"/>
        <w:jc w:val="left"/>
        <w:rPr>
          <w:rFonts w:ascii="宋体" w:hAnsi="宋体" w:cs="宋体"/>
          <w:sz w:val="24"/>
          <w:szCs w:val="24"/>
        </w:rPr>
      </w:pPr>
    </w:p>
    <w:p w14:paraId="671FC19D">
      <w:pPr>
        <w:wordWrap w:val="0"/>
        <w:spacing w:line="520" w:lineRule="exact"/>
        <w:jc w:val="right"/>
        <w:rPr>
          <w:rFonts w:ascii="宋体" w:hAnsi="宋体" w:cs="宋体"/>
          <w:sz w:val="24"/>
          <w:szCs w:val="24"/>
        </w:rPr>
      </w:pPr>
      <w:r>
        <w:rPr>
          <w:rFonts w:hint="eastAsia" w:ascii="宋体" w:hAnsi="宋体" w:cs="宋体"/>
          <w:sz w:val="24"/>
          <w:szCs w:val="24"/>
        </w:rPr>
        <w:t xml:space="preserve">                                                      </w:t>
      </w:r>
    </w:p>
    <w:p w14:paraId="78E7A555">
      <w:pPr>
        <w:spacing w:line="520" w:lineRule="exact"/>
        <w:ind w:firstLine="4245" w:firstLineChars="1762"/>
        <w:rPr>
          <w:rFonts w:ascii="宋体" w:hAnsi="宋体" w:cs="宋体"/>
          <w:b/>
          <w:bCs/>
          <w:sz w:val="24"/>
          <w:szCs w:val="24"/>
          <w:u w:val="single"/>
        </w:rPr>
      </w:pPr>
      <w:r>
        <w:rPr>
          <w:rFonts w:hint="eastAsia" w:ascii="宋体" w:hAnsi="宋体" w:cs="宋体"/>
          <w:b/>
          <w:bCs/>
          <w:sz w:val="24"/>
          <w:szCs w:val="24"/>
        </w:rPr>
        <w:t>供应商签章：</w:t>
      </w:r>
    </w:p>
    <w:p w14:paraId="5305A711">
      <w:pPr>
        <w:tabs>
          <w:tab w:val="left" w:pos="630"/>
        </w:tabs>
        <w:spacing w:line="520" w:lineRule="exact"/>
        <w:ind w:firstLine="4245" w:firstLineChars="1762"/>
        <w:rPr>
          <w:rFonts w:ascii="宋体" w:hAnsi="宋体" w:cs="宋体"/>
          <w:b/>
          <w:bCs/>
          <w:sz w:val="24"/>
          <w:szCs w:val="24"/>
        </w:rPr>
      </w:pPr>
      <w:r>
        <w:rPr>
          <w:rFonts w:hint="eastAsia" w:ascii="宋体" w:hAnsi="宋体" w:cs="宋体"/>
          <w:b/>
          <w:bCs/>
          <w:sz w:val="24"/>
          <w:szCs w:val="24"/>
        </w:rPr>
        <w:t>日期：</w:t>
      </w:r>
    </w:p>
    <w:p w14:paraId="0A2A2E88">
      <w:pPr>
        <w:pStyle w:val="5"/>
        <w:spacing w:before="0" w:after="0" w:line="560" w:lineRule="exact"/>
        <w:rPr>
          <w:rFonts w:ascii="宋体" w:hAnsi="宋体" w:eastAsia="宋体" w:cs="宋体"/>
          <w:sz w:val="24"/>
          <w:szCs w:val="24"/>
        </w:rPr>
      </w:pPr>
      <w:bookmarkStart w:id="67" w:name="_Toc17226"/>
      <w:bookmarkStart w:id="68" w:name="_Toc23589"/>
      <w:r>
        <w:rPr>
          <w:rFonts w:hint="eastAsia" w:ascii="宋体" w:hAnsi="宋体" w:eastAsia="宋体" w:cs="宋体"/>
          <w:sz w:val="24"/>
          <w:szCs w:val="24"/>
        </w:rPr>
        <w:br w:type="page"/>
      </w:r>
      <w:bookmarkStart w:id="69" w:name="_Toc19802"/>
      <w:r>
        <w:rPr>
          <w:rFonts w:hint="eastAsia" w:ascii="宋体" w:hAnsi="宋体" w:eastAsia="宋体" w:cs="宋体"/>
          <w:sz w:val="24"/>
          <w:szCs w:val="24"/>
        </w:rPr>
        <w:t>附件四</w:t>
      </w:r>
      <w:bookmarkEnd w:id="67"/>
      <w:bookmarkEnd w:id="68"/>
      <w:bookmarkEnd w:id="69"/>
    </w:p>
    <w:p w14:paraId="3961E2DE">
      <w:pPr>
        <w:pStyle w:val="5"/>
        <w:spacing w:before="0" w:after="156" w:afterLines="50" w:line="560" w:lineRule="exact"/>
        <w:jc w:val="center"/>
        <w:rPr>
          <w:rFonts w:ascii="宋体" w:hAnsi="宋体" w:eastAsia="宋体" w:cs="宋体"/>
          <w:sz w:val="24"/>
          <w:szCs w:val="24"/>
        </w:rPr>
      </w:pPr>
      <w:bookmarkStart w:id="70" w:name="_Toc29759"/>
      <w:bookmarkStart w:id="71" w:name="_Toc6278"/>
      <w:bookmarkStart w:id="72" w:name="_Toc28665"/>
      <w:bookmarkStart w:id="73" w:name="_Toc29263"/>
      <w:bookmarkStart w:id="74" w:name="_Toc417045478"/>
      <w:r>
        <w:rPr>
          <w:rFonts w:hint="eastAsia" w:ascii="宋体" w:hAnsi="宋体" w:eastAsia="宋体" w:cs="宋体"/>
          <w:sz w:val="24"/>
          <w:szCs w:val="24"/>
        </w:rPr>
        <w:t>磋商响应函</w:t>
      </w:r>
      <w:bookmarkEnd w:id="70"/>
      <w:bookmarkEnd w:id="71"/>
      <w:bookmarkEnd w:id="72"/>
      <w:bookmarkEnd w:id="73"/>
    </w:p>
    <w:p w14:paraId="08E7ECF0">
      <w:pPr>
        <w:spacing w:line="360" w:lineRule="auto"/>
        <w:rPr>
          <w:rFonts w:ascii="宋体" w:hAnsi="宋体" w:cs="宋体"/>
          <w:sz w:val="24"/>
          <w:szCs w:val="24"/>
        </w:rPr>
      </w:pPr>
      <w:r>
        <w:rPr>
          <w:rFonts w:hint="eastAsia" w:ascii="宋体" w:hAnsi="宋体" w:cs="宋体"/>
          <w:sz w:val="24"/>
          <w:szCs w:val="24"/>
        </w:rPr>
        <w:t>致：XXX（</w:t>
      </w:r>
      <w:r>
        <w:rPr>
          <w:rFonts w:hint="eastAsia" w:ascii="宋体" w:hAnsi="宋体" w:cs="宋体"/>
          <w:sz w:val="24"/>
          <w:szCs w:val="24"/>
          <w:lang w:eastAsia="zh-CN"/>
        </w:rPr>
        <w:t>采购人</w:t>
      </w:r>
      <w:r>
        <w:rPr>
          <w:rFonts w:hint="eastAsia" w:ascii="宋体" w:hAnsi="宋体" w:cs="宋体"/>
          <w:sz w:val="24"/>
          <w:szCs w:val="24"/>
        </w:rPr>
        <w:t>名称）</w:t>
      </w:r>
    </w:p>
    <w:p w14:paraId="77E3D657">
      <w:pPr>
        <w:spacing w:line="360" w:lineRule="auto"/>
        <w:ind w:firstLine="480" w:firstLineChars="200"/>
        <w:rPr>
          <w:rFonts w:ascii="宋体" w:hAnsi="宋体" w:cs="宋体"/>
          <w:sz w:val="24"/>
          <w:szCs w:val="24"/>
        </w:rPr>
      </w:pPr>
      <w:r>
        <w:rPr>
          <w:rFonts w:hint="eastAsia" w:ascii="宋体" w:hAnsi="宋体" w:cs="宋体"/>
          <w:sz w:val="24"/>
          <w:szCs w:val="24"/>
        </w:rPr>
        <w:t>1、根据项目编号：</w:t>
      </w:r>
      <w:r>
        <w:rPr>
          <w:rFonts w:hint="eastAsia" w:ascii="宋体" w:hAnsi="宋体" w:cs="宋体"/>
          <w:sz w:val="24"/>
          <w:szCs w:val="24"/>
          <w:u w:val="single"/>
        </w:rPr>
        <w:t xml:space="preserve">       </w:t>
      </w:r>
      <w:r>
        <w:rPr>
          <w:rFonts w:hint="eastAsia" w:ascii="宋体" w:hAnsi="宋体" w:cs="宋体"/>
          <w:sz w:val="24"/>
          <w:szCs w:val="24"/>
        </w:rPr>
        <w:t>号磋商公告的内容，我方决定参加贵方组织的“</w:t>
      </w:r>
      <w:r>
        <w:rPr>
          <w:rFonts w:hint="eastAsia" w:ascii="宋体" w:hAnsi="宋体" w:cs="宋体"/>
          <w:sz w:val="24"/>
          <w:szCs w:val="24"/>
          <w:u w:val="single"/>
        </w:rPr>
        <w:t xml:space="preserve">                 </w:t>
      </w:r>
      <w:r>
        <w:rPr>
          <w:rFonts w:hint="eastAsia" w:ascii="宋体" w:hAnsi="宋体" w:cs="宋体"/>
          <w:sz w:val="24"/>
          <w:szCs w:val="24"/>
        </w:rPr>
        <w:t>”项目的竞争性磋商采购。我方授权</w:t>
      </w:r>
      <w:r>
        <w:rPr>
          <w:rFonts w:hint="eastAsia" w:ascii="宋体" w:hAnsi="宋体" w:cs="宋体"/>
          <w:sz w:val="24"/>
          <w:szCs w:val="24"/>
          <w:u w:val="single"/>
        </w:rPr>
        <w:t xml:space="preserve">         </w:t>
      </w:r>
      <w:r>
        <w:rPr>
          <w:rFonts w:hint="eastAsia" w:ascii="宋体" w:hAnsi="宋体" w:cs="宋体"/>
          <w:sz w:val="24"/>
          <w:szCs w:val="24"/>
        </w:rPr>
        <w:t>(姓名)代表我方</w:t>
      </w:r>
      <w:r>
        <w:rPr>
          <w:rFonts w:hint="eastAsia" w:ascii="宋体" w:hAnsi="宋体" w:cs="宋体"/>
          <w:sz w:val="24"/>
          <w:szCs w:val="24"/>
          <w:u w:val="single"/>
        </w:rPr>
        <w:t xml:space="preserve">           </w:t>
      </w:r>
      <w:r>
        <w:rPr>
          <w:rFonts w:hint="eastAsia" w:ascii="宋体" w:hAnsi="宋体" w:cs="宋体"/>
          <w:sz w:val="24"/>
          <w:szCs w:val="24"/>
        </w:rPr>
        <w:t>（磋商单位的名称）全权处理本项目磋商的有关事宜。</w:t>
      </w:r>
    </w:p>
    <w:p w14:paraId="1827713D">
      <w:pPr>
        <w:spacing w:line="360" w:lineRule="auto"/>
        <w:ind w:firstLine="480" w:firstLineChars="200"/>
        <w:rPr>
          <w:rFonts w:ascii="宋体" w:hAnsi="宋体" w:cs="宋体"/>
          <w:sz w:val="24"/>
          <w:szCs w:val="24"/>
        </w:rPr>
      </w:pPr>
      <w:r>
        <w:rPr>
          <w:rFonts w:hint="eastAsia" w:ascii="宋体" w:hAnsi="宋体" w:cs="宋体"/>
          <w:sz w:val="24"/>
          <w:szCs w:val="24"/>
        </w:rPr>
        <w:t>2、我方愿意按照磋商文件规定的各项要求，向采购人提供所需的服务。</w:t>
      </w:r>
    </w:p>
    <w:p w14:paraId="64C6FEC9">
      <w:pPr>
        <w:spacing w:line="360" w:lineRule="auto"/>
        <w:ind w:firstLine="480" w:firstLineChars="200"/>
        <w:rPr>
          <w:rFonts w:ascii="宋体" w:hAnsi="宋体" w:cs="宋体"/>
          <w:sz w:val="24"/>
          <w:szCs w:val="24"/>
        </w:rPr>
      </w:pPr>
      <w:r>
        <w:rPr>
          <w:rFonts w:hint="eastAsia" w:ascii="宋体" w:hAnsi="宋体" w:cs="宋体"/>
          <w:sz w:val="24"/>
          <w:szCs w:val="24"/>
        </w:rPr>
        <w:t>3、一旦我方成交，我方将严格履行合同规定的责任和义务，保证于采购人要求的日期内完成项目的全部内容，并交付采购人验收、使用。</w:t>
      </w:r>
    </w:p>
    <w:p w14:paraId="19C46A6F">
      <w:pPr>
        <w:spacing w:line="360" w:lineRule="auto"/>
        <w:ind w:firstLine="480" w:firstLineChars="200"/>
        <w:rPr>
          <w:rFonts w:ascii="宋体" w:hAnsi="宋体" w:cs="宋体"/>
          <w:sz w:val="24"/>
          <w:szCs w:val="24"/>
        </w:rPr>
      </w:pPr>
      <w:r>
        <w:rPr>
          <w:rFonts w:hint="eastAsia" w:ascii="宋体" w:hAnsi="宋体" w:cs="宋体"/>
          <w:sz w:val="24"/>
          <w:szCs w:val="24"/>
        </w:rPr>
        <w:t>4、如我公司成交，我公司承诺愿意按磋商文件规定缴纳履约保证金。</w:t>
      </w:r>
    </w:p>
    <w:p w14:paraId="7059CB57">
      <w:pPr>
        <w:tabs>
          <w:tab w:val="left" w:pos="840"/>
        </w:tabs>
        <w:spacing w:line="360" w:lineRule="auto"/>
        <w:ind w:firstLine="480" w:firstLineChars="200"/>
        <w:rPr>
          <w:rFonts w:ascii="宋体" w:hAnsi="宋体" w:cs="宋体"/>
          <w:sz w:val="24"/>
          <w:szCs w:val="24"/>
        </w:rPr>
      </w:pPr>
      <w:r>
        <w:rPr>
          <w:rFonts w:hint="eastAsia" w:ascii="宋体" w:hAnsi="宋体" w:cs="宋体"/>
          <w:sz w:val="24"/>
          <w:szCs w:val="24"/>
        </w:rPr>
        <w:t>5、我方愿意提供贵方可能另外要求的、与磋商有关的文件资料，并保证我方已提供和将要提供的文件是真实的、准确的。</w:t>
      </w:r>
    </w:p>
    <w:p w14:paraId="59DE5F4A">
      <w:pPr>
        <w:tabs>
          <w:tab w:val="left" w:pos="0"/>
          <w:tab w:val="left" w:pos="840"/>
        </w:tabs>
        <w:spacing w:line="360" w:lineRule="auto"/>
        <w:ind w:firstLine="480" w:firstLineChars="200"/>
        <w:rPr>
          <w:rFonts w:ascii="宋体" w:hAnsi="宋体" w:cs="宋体"/>
          <w:sz w:val="24"/>
          <w:szCs w:val="24"/>
        </w:rPr>
      </w:pPr>
      <w:r>
        <w:rPr>
          <w:rFonts w:hint="eastAsia" w:ascii="宋体" w:hAnsi="宋体" w:cs="宋体"/>
          <w:sz w:val="24"/>
          <w:szCs w:val="24"/>
        </w:rPr>
        <w:t>6、我方完全理解贵方不一定将合同授予最低报价的供应商。</w:t>
      </w:r>
    </w:p>
    <w:p w14:paraId="7D423D42">
      <w:pPr>
        <w:tabs>
          <w:tab w:val="left" w:pos="0"/>
          <w:tab w:val="left" w:pos="840"/>
        </w:tabs>
        <w:spacing w:line="360" w:lineRule="auto"/>
        <w:jc w:val="left"/>
        <w:rPr>
          <w:rFonts w:ascii="宋体" w:hAnsi="宋体" w:cs="宋体"/>
          <w:sz w:val="24"/>
          <w:szCs w:val="24"/>
        </w:rPr>
      </w:pPr>
    </w:p>
    <w:p w14:paraId="0929E4AF">
      <w:pPr>
        <w:tabs>
          <w:tab w:val="left" w:pos="0"/>
          <w:tab w:val="left" w:pos="840"/>
        </w:tabs>
        <w:rPr>
          <w:rFonts w:ascii="宋体" w:hAnsi="宋体" w:cs="宋体"/>
          <w:sz w:val="24"/>
          <w:szCs w:val="24"/>
        </w:rPr>
      </w:pPr>
    </w:p>
    <w:p w14:paraId="4CB3BFD4">
      <w:pPr>
        <w:tabs>
          <w:tab w:val="left" w:pos="0"/>
          <w:tab w:val="left" w:pos="840"/>
        </w:tabs>
        <w:rPr>
          <w:rFonts w:ascii="宋体" w:hAnsi="宋体" w:cs="宋体"/>
          <w:sz w:val="24"/>
          <w:szCs w:val="24"/>
        </w:rPr>
      </w:pPr>
    </w:p>
    <w:p w14:paraId="3E1F1FAF">
      <w:pPr>
        <w:tabs>
          <w:tab w:val="left" w:pos="0"/>
          <w:tab w:val="left" w:pos="840"/>
        </w:tabs>
        <w:rPr>
          <w:rFonts w:ascii="宋体" w:hAnsi="宋体" w:cs="宋体"/>
          <w:sz w:val="24"/>
          <w:szCs w:val="24"/>
        </w:rPr>
      </w:pPr>
    </w:p>
    <w:p w14:paraId="3275ECDE">
      <w:pPr>
        <w:tabs>
          <w:tab w:val="left" w:pos="0"/>
          <w:tab w:val="left" w:pos="840"/>
        </w:tabs>
        <w:rPr>
          <w:rFonts w:ascii="宋体" w:hAnsi="宋体" w:cs="宋体"/>
          <w:sz w:val="24"/>
          <w:szCs w:val="24"/>
        </w:rPr>
      </w:pPr>
    </w:p>
    <w:p w14:paraId="0FC0A0B2">
      <w:pPr>
        <w:spacing w:line="360" w:lineRule="auto"/>
        <w:ind w:firstLine="4245" w:firstLineChars="1762"/>
        <w:rPr>
          <w:rFonts w:ascii="宋体" w:hAnsi="宋体" w:cs="宋体"/>
          <w:b/>
          <w:bCs/>
          <w:sz w:val="24"/>
          <w:szCs w:val="24"/>
          <w:u w:val="single"/>
        </w:rPr>
      </w:pPr>
      <w:r>
        <w:rPr>
          <w:rFonts w:hint="eastAsia" w:ascii="宋体" w:hAnsi="宋体" w:cs="宋体"/>
          <w:b/>
          <w:bCs/>
          <w:sz w:val="24"/>
          <w:szCs w:val="24"/>
        </w:rPr>
        <w:t>供应商签章：</w:t>
      </w:r>
    </w:p>
    <w:p w14:paraId="4C8F5BF2">
      <w:pPr>
        <w:tabs>
          <w:tab w:val="left" w:pos="630"/>
        </w:tabs>
        <w:spacing w:line="360" w:lineRule="auto"/>
        <w:ind w:firstLine="4245" w:firstLineChars="1762"/>
        <w:rPr>
          <w:rFonts w:ascii="宋体" w:hAnsi="宋体" w:cs="宋体"/>
          <w:b/>
          <w:bCs/>
          <w:sz w:val="24"/>
          <w:szCs w:val="24"/>
        </w:rPr>
      </w:pPr>
      <w:r>
        <w:rPr>
          <w:rFonts w:hint="eastAsia" w:ascii="宋体" w:hAnsi="宋体" w:cs="宋体"/>
          <w:b/>
          <w:bCs/>
          <w:sz w:val="24"/>
          <w:szCs w:val="24"/>
        </w:rPr>
        <w:t>日期：</w:t>
      </w:r>
    </w:p>
    <w:p w14:paraId="1EED49B7">
      <w:pPr>
        <w:pStyle w:val="5"/>
        <w:spacing w:before="0" w:after="0" w:line="560" w:lineRule="exact"/>
        <w:rPr>
          <w:rFonts w:ascii="宋体" w:hAnsi="宋体" w:eastAsia="宋体" w:cs="宋体"/>
          <w:sz w:val="24"/>
          <w:szCs w:val="24"/>
        </w:rPr>
      </w:pPr>
      <w:r>
        <w:rPr>
          <w:rFonts w:hint="eastAsia" w:ascii="宋体" w:hAnsi="宋体" w:eastAsia="宋体" w:cs="宋体"/>
          <w:sz w:val="24"/>
          <w:szCs w:val="24"/>
        </w:rPr>
        <w:br w:type="page"/>
      </w:r>
      <w:bookmarkStart w:id="75" w:name="_Toc21593"/>
      <w:bookmarkStart w:id="76" w:name="_Toc30354"/>
      <w:bookmarkStart w:id="77" w:name="_Toc419"/>
      <w:r>
        <w:rPr>
          <w:rFonts w:hint="eastAsia" w:ascii="宋体" w:hAnsi="宋体" w:eastAsia="宋体" w:cs="宋体"/>
          <w:sz w:val="24"/>
          <w:szCs w:val="24"/>
        </w:rPr>
        <w:t>附件</w:t>
      </w:r>
      <w:bookmarkEnd w:id="74"/>
      <w:r>
        <w:rPr>
          <w:rFonts w:hint="eastAsia" w:ascii="宋体" w:hAnsi="宋体" w:eastAsia="宋体" w:cs="宋体"/>
          <w:sz w:val="24"/>
          <w:szCs w:val="24"/>
        </w:rPr>
        <w:t>五</w:t>
      </w:r>
      <w:bookmarkEnd w:id="75"/>
      <w:bookmarkEnd w:id="76"/>
      <w:bookmarkEnd w:id="77"/>
    </w:p>
    <w:p w14:paraId="58D67F26">
      <w:pPr>
        <w:pStyle w:val="2"/>
        <w:ind w:firstLine="281"/>
        <w:rPr>
          <w:b/>
          <w:sz w:val="28"/>
          <w:szCs w:val="28"/>
        </w:rPr>
      </w:pPr>
      <w:bookmarkStart w:id="78" w:name="_Toc26949"/>
      <w:bookmarkStart w:id="79" w:name="_Toc26881"/>
      <w:bookmarkStart w:id="80" w:name="_Toc10256"/>
    </w:p>
    <w:p w14:paraId="5DD8E6B1">
      <w:pPr>
        <w:pStyle w:val="2"/>
        <w:ind w:firstLine="2891" w:firstLineChars="1200"/>
        <w:rPr>
          <w:rFonts w:ascii="宋体" w:hAnsi="宋体" w:cs="宋体"/>
          <w:b/>
          <w:szCs w:val="24"/>
          <w:lang w:val="zh-CN"/>
        </w:rPr>
      </w:pPr>
      <w:bookmarkStart w:id="81" w:name="_Hlk77793942"/>
      <w:r>
        <w:rPr>
          <w:rFonts w:hint="eastAsia" w:ascii="宋体" w:hAnsi="宋体" w:cs="宋体"/>
          <w:b/>
          <w:szCs w:val="24"/>
          <w:lang w:val="zh-CN"/>
        </w:rPr>
        <w:t>无重大违法记录声明函</w:t>
      </w:r>
    </w:p>
    <w:p w14:paraId="03304814">
      <w:pPr>
        <w:pStyle w:val="2"/>
        <w:ind w:firstLine="480" w:firstLineChars="200"/>
        <w:rPr>
          <w:rFonts w:ascii="宋体" w:hAnsi="宋体"/>
          <w:szCs w:val="24"/>
        </w:rPr>
      </w:pPr>
      <w:bookmarkStart w:id="82" w:name="_Hlk77793969"/>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E91B3D7">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C8F75C">
      <w:pPr>
        <w:spacing w:line="360" w:lineRule="auto"/>
        <w:ind w:firstLine="435"/>
        <w:rPr>
          <w:rFonts w:ascii="宋体" w:hAnsi="宋体"/>
          <w:sz w:val="24"/>
          <w:szCs w:val="24"/>
        </w:rPr>
      </w:pPr>
    </w:p>
    <w:p w14:paraId="41AB223F">
      <w:pPr>
        <w:spacing w:line="360" w:lineRule="auto"/>
        <w:ind w:firstLine="5428" w:firstLineChars="2262"/>
        <w:rPr>
          <w:rFonts w:ascii="宋体" w:hAnsi="宋体"/>
          <w:bCs/>
          <w:sz w:val="24"/>
          <w:szCs w:val="24"/>
          <w:u w:val="single"/>
        </w:rPr>
      </w:pPr>
      <w:r>
        <w:rPr>
          <w:rFonts w:hint="eastAsia" w:ascii="宋体" w:hAnsi="宋体"/>
          <w:bCs/>
          <w:sz w:val="24"/>
          <w:szCs w:val="24"/>
        </w:rPr>
        <w:t>供应商签章：</w:t>
      </w:r>
    </w:p>
    <w:p w14:paraId="266C9431">
      <w:pPr>
        <w:tabs>
          <w:tab w:val="left" w:pos="630"/>
        </w:tabs>
        <w:spacing w:line="360" w:lineRule="auto"/>
        <w:ind w:firstLine="5428" w:firstLineChars="2262"/>
        <w:rPr>
          <w:rFonts w:ascii="宋体" w:hAnsi="宋体"/>
          <w:bCs/>
          <w:sz w:val="24"/>
          <w:szCs w:val="24"/>
          <w:lang w:val="zh-CN"/>
        </w:rPr>
      </w:pPr>
      <w:r>
        <w:rPr>
          <w:rFonts w:hint="eastAsia" w:ascii="宋体" w:hAnsi="宋体"/>
          <w:bCs/>
          <w:sz w:val="24"/>
          <w:szCs w:val="24"/>
        </w:rPr>
        <w:t>日期：</w:t>
      </w:r>
    </w:p>
    <w:bookmarkEnd w:id="82"/>
    <w:p w14:paraId="6629F307">
      <w:pPr>
        <w:pStyle w:val="2"/>
        <w:ind w:firstLine="210"/>
      </w:pPr>
    </w:p>
    <w:p w14:paraId="5C41A2AA">
      <w:pPr>
        <w:pStyle w:val="2"/>
        <w:ind w:firstLine="210"/>
      </w:pPr>
    </w:p>
    <w:p w14:paraId="5DF46712">
      <w:pPr>
        <w:tabs>
          <w:tab w:val="left" w:pos="630"/>
        </w:tabs>
        <w:spacing w:after="156" w:afterLines="50" w:line="360" w:lineRule="auto"/>
        <w:ind w:firstLine="3188" w:firstLineChars="1323"/>
        <w:rPr>
          <w:rFonts w:ascii="宋体" w:hAnsi="宋体"/>
          <w:sz w:val="24"/>
          <w:szCs w:val="24"/>
        </w:rPr>
      </w:pPr>
      <w:r>
        <w:rPr>
          <w:rFonts w:hint="eastAsia" w:ascii="宋体" w:hAnsi="宋体"/>
          <w:b/>
          <w:sz w:val="24"/>
          <w:szCs w:val="24"/>
          <w:lang w:val="zh-CN"/>
        </w:rPr>
        <w:t>无不良信用记录承诺函</w:t>
      </w:r>
    </w:p>
    <w:p w14:paraId="2276CBEE">
      <w:pPr>
        <w:spacing w:line="360" w:lineRule="auto"/>
        <w:ind w:firstLine="435"/>
        <w:rPr>
          <w:rFonts w:ascii="宋体" w:hAnsi="宋体"/>
          <w:sz w:val="24"/>
          <w:szCs w:val="24"/>
        </w:rPr>
      </w:pPr>
      <w:bookmarkStart w:id="83" w:name="_Hlk77794010"/>
      <w:r>
        <w:rPr>
          <w:rFonts w:hint="eastAsia" w:ascii="宋体" w:hAnsi="宋体"/>
          <w:sz w:val="24"/>
          <w:szCs w:val="24"/>
        </w:rPr>
        <w:t>本公司郑重承诺，我公司无以下不良信用记录情形：</w:t>
      </w:r>
    </w:p>
    <w:p w14:paraId="5F0CF935">
      <w:pPr>
        <w:spacing w:line="360" w:lineRule="auto"/>
        <w:ind w:firstLine="435"/>
        <w:rPr>
          <w:rFonts w:ascii="宋体" w:hAnsi="宋体"/>
          <w:sz w:val="24"/>
          <w:szCs w:val="24"/>
        </w:rPr>
      </w:pPr>
      <w:r>
        <w:rPr>
          <w:rFonts w:hint="eastAsia" w:ascii="宋体" w:hAnsi="宋体"/>
          <w:sz w:val="24"/>
          <w:szCs w:val="24"/>
        </w:rPr>
        <w:t>1、公司被人民法院列入失信被执行人；</w:t>
      </w:r>
    </w:p>
    <w:p w14:paraId="057151F2">
      <w:pPr>
        <w:spacing w:line="360" w:lineRule="auto"/>
        <w:ind w:firstLine="435"/>
        <w:rPr>
          <w:rFonts w:ascii="宋体" w:hAnsi="宋体"/>
          <w:sz w:val="24"/>
          <w:szCs w:val="24"/>
        </w:rPr>
      </w:pPr>
      <w:r>
        <w:rPr>
          <w:rFonts w:hint="eastAsia" w:ascii="宋体" w:hAnsi="宋体"/>
          <w:color w:val="000000" w:themeColor="text1"/>
          <w:sz w:val="24"/>
          <w:szCs w:val="24"/>
          <w14:textFill>
            <w14:solidFill>
              <w14:schemeClr w14:val="tx1"/>
            </w14:solidFill>
          </w14:textFill>
        </w:rPr>
        <w:t>2、</w:t>
      </w:r>
      <w:r>
        <w:rPr>
          <w:rFonts w:hint="eastAsia" w:ascii="宋体" w:hAnsi="宋体"/>
          <w:sz w:val="24"/>
          <w:szCs w:val="24"/>
        </w:rPr>
        <w:t>公司被市场监督管理部门列入</w:t>
      </w:r>
      <w:r>
        <w:rPr>
          <w:rFonts w:hint="eastAsia" w:ascii="宋体" w:hAnsi="宋体"/>
          <w:sz w:val="24"/>
          <w:szCs w:val="24"/>
          <w:lang w:eastAsia="zh-CN"/>
        </w:rPr>
        <w:t>严重违法失信企业</w:t>
      </w:r>
      <w:r>
        <w:rPr>
          <w:rFonts w:hint="eastAsia" w:ascii="宋体" w:hAnsi="宋体"/>
          <w:sz w:val="24"/>
          <w:szCs w:val="24"/>
        </w:rPr>
        <w:t>名录；</w:t>
      </w:r>
    </w:p>
    <w:p w14:paraId="0C34EAB9">
      <w:pPr>
        <w:spacing w:line="360" w:lineRule="auto"/>
        <w:ind w:firstLine="435"/>
        <w:rPr>
          <w:rFonts w:ascii="宋体" w:hAnsi="宋体"/>
          <w:sz w:val="24"/>
          <w:szCs w:val="24"/>
        </w:rPr>
      </w:pPr>
      <w:r>
        <w:rPr>
          <w:rFonts w:hint="eastAsia" w:ascii="宋体" w:hAnsi="宋体"/>
          <w:sz w:val="24"/>
          <w:szCs w:val="24"/>
        </w:rPr>
        <w:t>3、公司被税务部门列入重大税收违法案件当事人名单的；</w:t>
      </w:r>
    </w:p>
    <w:p w14:paraId="6781F821">
      <w:pPr>
        <w:spacing w:line="360" w:lineRule="auto"/>
        <w:ind w:firstLine="435"/>
        <w:rPr>
          <w:rFonts w:ascii="宋体" w:hAnsi="宋体"/>
          <w:sz w:val="24"/>
          <w:szCs w:val="24"/>
        </w:rPr>
      </w:pPr>
      <w:r>
        <w:rPr>
          <w:rFonts w:hint="eastAsia" w:ascii="宋体" w:hAnsi="宋体"/>
          <w:sz w:val="24"/>
          <w:szCs w:val="24"/>
        </w:rPr>
        <w:t>4、公司被政府采购监管部门列入政府采购严重违法失信行为记录名单。</w:t>
      </w:r>
    </w:p>
    <w:p w14:paraId="54F73490">
      <w:pPr>
        <w:spacing w:line="360" w:lineRule="auto"/>
        <w:ind w:firstLine="435"/>
        <w:rPr>
          <w:rFonts w:ascii="宋体" w:hAnsi="宋体" w:cs="宋体"/>
          <w:kern w:val="0"/>
          <w:sz w:val="32"/>
          <w:szCs w:val="32"/>
        </w:rPr>
      </w:pP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40BF331D">
      <w:pPr>
        <w:tabs>
          <w:tab w:val="left" w:pos="630"/>
        </w:tabs>
        <w:spacing w:line="360" w:lineRule="auto"/>
        <w:ind w:firstLine="630"/>
        <w:rPr>
          <w:rFonts w:ascii="宋体" w:hAnsi="宋体"/>
          <w:sz w:val="24"/>
          <w:szCs w:val="24"/>
        </w:rPr>
      </w:pPr>
    </w:p>
    <w:p w14:paraId="64DC1EBC">
      <w:pPr>
        <w:spacing w:line="360" w:lineRule="auto"/>
        <w:ind w:firstLine="5428" w:firstLineChars="2262"/>
        <w:rPr>
          <w:rFonts w:ascii="宋体" w:hAnsi="宋体"/>
          <w:bCs/>
          <w:sz w:val="24"/>
          <w:szCs w:val="24"/>
          <w:u w:val="single"/>
        </w:rPr>
      </w:pPr>
      <w:r>
        <w:rPr>
          <w:rFonts w:hint="eastAsia" w:ascii="宋体" w:hAnsi="宋体"/>
          <w:bCs/>
          <w:sz w:val="24"/>
          <w:szCs w:val="24"/>
        </w:rPr>
        <w:t>供应商签章：</w:t>
      </w:r>
    </w:p>
    <w:p w14:paraId="3CE2F6D6">
      <w:pPr>
        <w:tabs>
          <w:tab w:val="left" w:pos="630"/>
        </w:tabs>
        <w:spacing w:line="360" w:lineRule="auto"/>
        <w:ind w:firstLine="5428" w:firstLineChars="2262"/>
        <w:rPr>
          <w:rFonts w:ascii="宋体" w:hAnsi="宋体"/>
          <w:bCs/>
          <w:sz w:val="24"/>
          <w:szCs w:val="24"/>
          <w:u w:val="single"/>
        </w:rPr>
      </w:pPr>
      <w:r>
        <w:rPr>
          <w:rFonts w:hint="eastAsia" w:ascii="宋体" w:hAnsi="宋体"/>
          <w:bCs/>
          <w:sz w:val="24"/>
          <w:szCs w:val="24"/>
        </w:rPr>
        <w:t>日期：</w:t>
      </w:r>
      <w:bookmarkEnd w:id="78"/>
      <w:bookmarkEnd w:id="79"/>
      <w:bookmarkEnd w:id="80"/>
      <w:bookmarkEnd w:id="81"/>
      <w:bookmarkEnd w:id="83"/>
      <w:bookmarkStart w:id="84" w:name="_Toc363199274"/>
      <w:r>
        <w:rPr>
          <w:rFonts w:hint="eastAsia" w:ascii="宋体" w:hAnsi="宋体" w:cs="宋体"/>
          <w:sz w:val="24"/>
          <w:szCs w:val="24"/>
        </w:rPr>
        <w:br w:type="page"/>
      </w:r>
      <w:bookmarkStart w:id="85" w:name="_Toc18709"/>
      <w:bookmarkStart w:id="86" w:name="_Toc20743"/>
      <w:r>
        <w:rPr>
          <w:rStyle w:val="114"/>
          <w:rFonts w:hint="eastAsia" w:ascii="宋体" w:hAnsi="宋体" w:eastAsia="宋体" w:cs="宋体"/>
          <w:sz w:val="24"/>
          <w:szCs w:val="24"/>
        </w:rPr>
        <w:t>附件</w:t>
      </w:r>
      <w:bookmarkEnd w:id="84"/>
      <w:r>
        <w:rPr>
          <w:rStyle w:val="114"/>
          <w:rFonts w:hint="eastAsia" w:ascii="宋体" w:hAnsi="宋体" w:eastAsia="宋体" w:cs="宋体"/>
          <w:sz w:val="24"/>
          <w:szCs w:val="24"/>
        </w:rPr>
        <w:t>六</w:t>
      </w:r>
      <w:bookmarkEnd w:id="85"/>
      <w:bookmarkEnd w:id="86"/>
    </w:p>
    <w:p w14:paraId="0F41342E">
      <w:pPr>
        <w:pStyle w:val="5"/>
        <w:spacing w:before="0" w:after="0" w:line="560" w:lineRule="exact"/>
        <w:jc w:val="center"/>
        <w:rPr>
          <w:rFonts w:ascii="宋体" w:hAnsi="宋体" w:eastAsia="宋体" w:cs="宋体"/>
          <w:sz w:val="24"/>
          <w:szCs w:val="24"/>
          <w:lang w:val="zh-CN"/>
        </w:rPr>
      </w:pPr>
      <w:bookmarkStart w:id="87" w:name="_Toc18402"/>
      <w:bookmarkStart w:id="88" w:name="_Toc30075"/>
      <w:bookmarkStart w:id="89" w:name="_Toc25238"/>
      <w:bookmarkStart w:id="90" w:name="_Toc27754"/>
      <w:r>
        <w:rPr>
          <w:rFonts w:hint="eastAsia" w:ascii="宋体" w:hAnsi="宋体" w:eastAsia="宋体" w:cs="宋体"/>
          <w:sz w:val="24"/>
          <w:szCs w:val="24"/>
          <w:lang w:val="zh-CN"/>
        </w:rPr>
        <w:t>响应情况表</w:t>
      </w:r>
      <w:bookmarkEnd w:id="87"/>
      <w:bookmarkEnd w:id="88"/>
      <w:bookmarkEnd w:id="89"/>
      <w:bookmarkEnd w:id="90"/>
    </w:p>
    <w:p w14:paraId="5B720475">
      <w:pPr>
        <w:jc w:val="center"/>
        <w:rPr>
          <w:rFonts w:ascii="宋体" w:hAnsi="宋体" w:cs="宋体"/>
          <w:bCs/>
          <w:sz w:val="24"/>
          <w:szCs w:val="24"/>
          <w:lang w:val="zh-CN"/>
        </w:rPr>
      </w:pPr>
    </w:p>
    <w:tbl>
      <w:tblPr>
        <w:tblStyle w:val="3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25AF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vAlign w:val="center"/>
          </w:tcPr>
          <w:p w14:paraId="45E2A6A0">
            <w:pPr>
              <w:jc w:val="center"/>
              <w:rPr>
                <w:rFonts w:ascii="宋体" w:hAnsi="宋体" w:cs="宋体"/>
                <w:b/>
                <w:sz w:val="24"/>
                <w:szCs w:val="21"/>
              </w:rPr>
            </w:pPr>
            <w:bookmarkStart w:id="91" w:name="_Toc471299110"/>
            <w:r>
              <w:rPr>
                <w:rFonts w:hint="eastAsia" w:ascii="宋体" w:hAnsi="宋体" w:cs="宋体"/>
                <w:b/>
                <w:sz w:val="24"/>
                <w:szCs w:val="21"/>
              </w:rPr>
              <w:t>按磋商文件规定填写</w:t>
            </w:r>
          </w:p>
        </w:tc>
        <w:tc>
          <w:tcPr>
            <w:tcW w:w="4200" w:type="dxa"/>
            <w:gridSpan w:val="2"/>
            <w:vAlign w:val="center"/>
          </w:tcPr>
          <w:p w14:paraId="2FA354F0">
            <w:pPr>
              <w:jc w:val="center"/>
              <w:rPr>
                <w:rFonts w:ascii="宋体" w:hAnsi="宋体" w:cs="宋体"/>
                <w:b/>
                <w:sz w:val="24"/>
                <w:szCs w:val="21"/>
              </w:rPr>
            </w:pPr>
            <w:r>
              <w:rPr>
                <w:rFonts w:hint="eastAsia" w:ascii="宋体" w:hAnsi="宋体" w:cs="宋体"/>
                <w:b/>
                <w:sz w:val="24"/>
                <w:szCs w:val="21"/>
              </w:rPr>
              <w:t>按供应商所投内容填写</w:t>
            </w:r>
          </w:p>
        </w:tc>
      </w:tr>
      <w:tr w14:paraId="2B46E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vAlign w:val="center"/>
          </w:tcPr>
          <w:p w14:paraId="2367B79F">
            <w:pPr>
              <w:jc w:val="center"/>
              <w:rPr>
                <w:rFonts w:ascii="宋体" w:hAnsi="宋体" w:cs="宋体"/>
                <w:b/>
                <w:sz w:val="24"/>
                <w:szCs w:val="21"/>
              </w:rPr>
            </w:pPr>
            <w:r>
              <w:rPr>
                <w:rFonts w:hint="eastAsia" w:ascii="宋体" w:hAnsi="宋体" w:cs="宋体"/>
                <w:b/>
                <w:sz w:val="24"/>
                <w:szCs w:val="21"/>
              </w:rPr>
              <w:t>序号</w:t>
            </w:r>
          </w:p>
        </w:tc>
        <w:tc>
          <w:tcPr>
            <w:tcW w:w="1794" w:type="dxa"/>
            <w:vAlign w:val="center"/>
          </w:tcPr>
          <w:p w14:paraId="4FD1DE59">
            <w:pPr>
              <w:jc w:val="center"/>
              <w:rPr>
                <w:rFonts w:ascii="宋体" w:hAnsi="宋体" w:cs="宋体"/>
                <w:b/>
                <w:sz w:val="24"/>
                <w:szCs w:val="21"/>
              </w:rPr>
            </w:pPr>
            <w:r>
              <w:rPr>
                <w:rFonts w:hint="eastAsia" w:ascii="宋体" w:hAnsi="宋体" w:cs="宋体"/>
                <w:b/>
                <w:sz w:val="24"/>
                <w:szCs w:val="21"/>
              </w:rPr>
              <w:t>内容</w:t>
            </w:r>
          </w:p>
        </w:tc>
        <w:tc>
          <w:tcPr>
            <w:tcW w:w="2196" w:type="dxa"/>
            <w:vAlign w:val="center"/>
          </w:tcPr>
          <w:p w14:paraId="5988DF73">
            <w:pPr>
              <w:jc w:val="center"/>
              <w:rPr>
                <w:rFonts w:ascii="宋体" w:hAnsi="宋体" w:cs="宋体"/>
                <w:b/>
                <w:sz w:val="24"/>
                <w:szCs w:val="21"/>
              </w:rPr>
            </w:pPr>
            <w:r>
              <w:rPr>
                <w:rFonts w:hint="eastAsia" w:ascii="宋体" w:hAnsi="宋体" w:cs="宋体"/>
                <w:b/>
                <w:sz w:val="24"/>
                <w:szCs w:val="21"/>
              </w:rPr>
              <w:t>磋商文件要求</w:t>
            </w:r>
          </w:p>
        </w:tc>
        <w:tc>
          <w:tcPr>
            <w:tcW w:w="2222" w:type="dxa"/>
            <w:vAlign w:val="center"/>
          </w:tcPr>
          <w:p w14:paraId="2EA29B0B">
            <w:pPr>
              <w:jc w:val="center"/>
              <w:rPr>
                <w:rFonts w:ascii="宋体" w:hAnsi="宋体" w:cs="宋体"/>
                <w:b/>
                <w:sz w:val="24"/>
                <w:szCs w:val="21"/>
              </w:rPr>
            </w:pPr>
            <w:r>
              <w:rPr>
                <w:rFonts w:hint="eastAsia" w:ascii="宋体" w:hAnsi="宋体" w:cs="宋体"/>
                <w:b/>
                <w:sz w:val="24"/>
                <w:szCs w:val="21"/>
              </w:rPr>
              <w:t>响应承诺</w:t>
            </w:r>
          </w:p>
        </w:tc>
        <w:tc>
          <w:tcPr>
            <w:tcW w:w="1978" w:type="dxa"/>
            <w:vAlign w:val="center"/>
          </w:tcPr>
          <w:p w14:paraId="7F406A0A">
            <w:pPr>
              <w:jc w:val="center"/>
              <w:rPr>
                <w:rFonts w:ascii="宋体" w:hAnsi="宋体" w:cs="宋体"/>
                <w:b/>
                <w:sz w:val="24"/>
                <w:szCs w:val="21"/>
              </w:rPr>
            </w:pPr>
            <w:r>
              <w:rPr>
                <w:rFonts w:hint="eastAsia" w:ascii="宋体" w:hAnsi="宋体" w:cs="宋体"/>
                <w:b/>
                <w:sz w:val="24"/>
                <w:szCs w:val="21"/>
              </w:rPr>
              <w:t>偏离说明</w:t>
            </w:r>
          </w:p>
        </w:tc>
      </w:tr>
      <w:tr w14:paraId="43C0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BE54A68">
            <w:pPr>
              <w:jc w:val="center"/>
              <w:rPr>
                <w:rFonts w:ascii="宋体" w:hAnsi="宋体" w:cs="宋体"/>
                <w:sz w:val="24"/>
                <w:szCs w:val="24"/>
              </w:rPr>
            </w:pPr>
            <w:r>
              <w:rPr>
                <w:rFonts w:hint="eastAsia" w:ascii="宋体" w:hAnsi="宋体" w:cs="宋体"/>
                <w:sz w:val="24"/>
                <w:szCs w:val="24"/>
              </w:rPr>
              <w:t>1</w:t>
            </w:r>
          </w:p>
        </w:tc>
        <w:tc>
          <w:tcPr>
            <w:tcW w:w="1794" w:type="dxa"/>
            <w:vAlign w:val="center"/>
          </w:tcPr>
          <w:p w14:paraId="4F7AA950">
            <w:pPr>
              <w:jc w:val="center"/>
              <w:rPr>
                <w:rFonts w:ascii="宋体" w:hAnsi="宋体" w:cs="宋体"/>
                <w:sz w:val="24"/>
                <w:szCs w:val="24"/>
              </w:rPr>
            </w:pPr>
            <w:r>
              <w:rPr>
                <w:rFonts w:hint="eastAsia" w:ascii="宋体" w:hAnsi="宋体" w:cs="宋体"/>
                <w:sz w:val="24"/>
                <w:szCs w:val="28"/>
              </w:rPr>
              <w:t>技术响应</w:t>
            </w:r>
          </w:p>
        </w:tc>
        <w:tc>
          <w:tcPr>
            <w:tcW w:w="2196" w:type="dxa"/>
            <w:vAlign w:val="center"/>
          </w:tcPr>
          <w:p w14:paraId="4F8A2315">
            <w:pPr>
              <w:rPr>
                <w:rFonts w:ascii="宋体" w:hAnsi="宋体" w:cs="宋体"/>
                <w:sz w:val="24"/>
                <w:szCs w:val="24"/>
              </w:rPr>
            </w:pPr>
          </w:p>
        </w:tc>
        <w:tc>
          <w:tcPr>
            <w:tcW w:w="2222" w:type="dxa"/>
            <w:vAlign w:val="center"/>
          </w:tcPr>
          <w:p w14:paraId="350C0B76">
            <w:pPr>
              <w:rPr>
                <w:rFonts w:ascii="宋体" w:hAnsi="宋体" w:cs="宋体"/>
                <w:sz w:val="24"/>
                <w:szCs w:val="24"/>
              </w:rPr>
            </w:pPr>
          </w:p>
        </w:tc>
        <w:tc>
          <w:tcPr>
            <w:tcW w:w="1978" w:type="dxa"/>
            <w:vAlign w:val="center"/>
          </w:tcPr>
          <w:p w14:paraId="31C22D87">
            <w:pPr>
              <w:rPr>
                <w:rFonts w:ascii="宋体" w:hAnsi="宋体" w:cs="宋体"/>
                <w:sz w:val="24"/>
                <w:szCs w:val="24"/>
              </w:rPr>
            </w:pPr>
          </w:p>
        </w:tc>
      </w:tr>
      <w:tr w14:paraId="6D92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713712A7">
            <w:pPr>
              <w:jc w:val="center"/>
              <w:rPr>
                <w:rFonts w:ascii="宋体" w:hAnsi="宋体" w:cs="宋体"/>
                <w:sz w:val="24"/>
                <w:szCs w:val="24"/>
              </w:rPr>
            </w:pPr>
            <w:r>
              <w:rPr>
                <w:rFonts w:hint="eastAsia" w:ascii="宋体" w:hAnsi="宋体" w:cs="宋体"/>
                <w:sz w:val="24"/>
                <w:szCs w:val="24"/>
              </w:rPr>
              <w:t>2</w:t>
            </w:r>
          </w:p>
        </w:tc>
        <w:tc>
          <w:tcPr>
            <w:tcW w:w="1794" w:type="dxa"/>
            <w:vAlign w:val="center"/>
          </w:tcPr>
          <w:p w14:paraId="58848DA5">
            <w:pPr>
              <w:jc w:val="center"/>
              <w:rPr>
                <w:rFonts w:ascii="宋体" w:hAnsi="宋体" w:cs="宋体"/>
                <w:sz w:val="24"/>
                <w:szCs w:val="24"/>
              </w:rPr>
            </w:pPr>
            <w:r>
              <w:rPr>
                <w:rFonts w:hint="eastAsia" w:ascii="宋体" w:hAnsi="宋体" w:cs="宋体"/>
                <w:sz w:val="24"/>
                <w:szCs w:val="28"/>
              </w:rPr>
              <w:t>付款响应</w:t>
            </w:r>
          </w:p>
        </w:tc>
        <w:tc>
          <w:tcPr>
            <w:tcW w:w="2196" w:type="dxa"/>
            <w:vAlign w:val="center"/>
          </w:tcPr>
          <w:p w14:paraId="156FA454">
            <w:pPr>
              <w:rPr>
                <w:rFonts w:ascii="宋体" w:hAnsi="宋体" w:cs="宋体"/>
                <w:sz w:val="24"/>
                <w:szCs w:val="24"/>
              </w:rPr>
            </w:pPr>
          </w:p>
        </w:tc>
        <w:tc>
          <w:tcPr>
            <w:tcW w:w="2222" w:type="dxa"/>
            <w:vAlign w:val="center"/>
          </w:tcPr>
          <w:p w14:paraId="32796EF9">
            <w:pPr>
              <w:rPr>
                <w:rFonts w:ascii="宋体" w:hAnsi="宋体" w:cs="宋体"/>
                <w:sz w:val="24"/>
                <w:szCs w:val="24"/>
              </w:rPr>
            </w:pPr>
          </w:p>
        </w:tc>
        <w:tc>
          <w:tcPr>
            <w:tcW w:w="1978" w:type="dxa"/>
            <w:vAlign w:val="center"/>
          </w:tcPr>
          <w:p w14:paraId="5ACC4F8D">
            <w:pPr>
              <w:rPr>
                <w:rFonts w:ascii="宋体" w:hAnsi="宋体" w:cs="宋体"/>
                <w:sz w:val="24"/>
                <w:szCs w:val="24"/>
              </w:rPr>
            </w:pPr>
          </w:p>
        </w:tc>
      </w:tr>
      <w:tr w14:paraId="27B01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555FB4A9">
            <w:pPr>
              <w:jc w:val="center"/>
              <w:rPr>
                <w:rFonts w:ascii="宋体" w:hAnsi="宋体" w:cs="宋体"/>
                <w:sz w:val="24"/>
                <w:szCs w:val="24"/>
              </w:rPr>
            </w:pPr>
            <w:r>
              <w:rPr>
                <w:rFonts w:hint="eastAsia" w:ascii="宋体" w:hAnsi="宋体" w:cs="宋体"/>
                <w:sz w:val="24"/>
                <w:szCs w:val="24"/>
              </w:rPr>
              <w:t>3</w:t>
            </w:r>
          </w:p>
        </w:tc>
        <w:tc>
          <w:tcPr>
            <w:tcW w:w="1794" w:type="dxa"/>
            <w:vAlign w:val="center"/>
          </w:tcPr>
          <w:p w14:paraId="7D14308C">
            <w:pPr>
              <w:jc w:val="center"/>
              <w:rPr>
                <w:rFonts w:ascii="宋体" w:hAnsi="宋体" w:cs="宋体"/>
                <w:sz w:val="24"/>
                <w:szCs w:val="24"/>
              </w:rPr>
            </w:pPr>
            <w:r>
              <w:rPr>
                <w:rFonts w:hint="eastAsia" w:ascii="宋体" w:hAnsi="宋体" w:cs="宋体"/>
                <w:sz w:val="24"/>
                <w:szCs w:val="28"/>
              </w:rPr>
              <w:t>服务期响应</w:t>
            </w:r>
          </w:p>
        </w:tc>
        <w:tc>
          <w:tcPr>
            <w:tcW w:w="2196" w:type="dxa"/>
            <w:vAlign w:val="center"/>
          </w:tcPr>
          <w:p w14:paraId="4A1556C4">
            <w:pPr>
              <w:rPr>
                <w:rFonts w:ascii="宋体" w:hAnsi="宋体" w:cs="宋体"/>
                <w:sz w:val="24"/>
                <w:szCs w:val="24"/>
              </w:rPr>
            </w:pPr>
          </w:p>
        </w:tc>
        <w:tc>
          <w:tcPr>
            <w:tcW w:w="2222" w:type="dxa"/>
            <w:vAlign w:val="center"/>
          </w:tcPr>
          <w:p w14:paraId="4C88D969">
            <w:pPr>
              <w:rPr>
                <w:rFonts w:ascii="宋体" w:hAnsi="宋体" w:cs="宋体"/>
                <w:sz w:val="24"/>
                <w:szCs w:val="24"/>
              </w:rPr>
            </w:pPr>
          </w:p>
        </w:tc>
        <w:tc>
          <w:tcPr>
            <w:tcW w:w="1978" w:type="dxa"/>
            <w:vAlign w:val="center"/>
          </w:tcPr>
          <w:p w14:paraId="274A3B48">
            <w:pPr>
              <w:rPr>
                <w:rFonts w:ascii="宋体" w:hAnsi="宋体" w:cs="宋体"/>
                <w:sz w:val="24"/>
                <w:szCs w:val="24"/>
              </w:rPr>
            </w:pPr>
          </w:p>
        </w:tc>
      </w:tr>
      <w:tr w14:paraId="4F47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vAlign w:val="center"/>
          </w:tcPr>
          <w:p w14:paraId="11550A6D">
            <w:pPr>
              <w:jc w:val="center"/>
              <w:rPr>
                <w:rFonts w:ascii="宋体" w:hAnsi="宋体" w:cs="宋体"/>
                <w:sz w:val="24"/>
                <w:szCs w:val="24"/>
              </w:rPr>
            </w:pPr>
            <w:r>
              <w:rPr>
                <w:rFonts w:hint="eastAsia" w:ascii="宋体" w:hAnsi="宋体" w:cs="宋体"/>
                <w:sz w:val="24"/>
                <w:szCs w:val="24"/>
              </w:rPr>
              <w:t>4</w:t>
            </w:r>
          </w:p>
        </w:tc>
        <w:tc>
          <w:tcPr>
            <w:tcW w:w="1794" w:type="dxa"/>
            <w:vAlign w:val="center"/>
          </w:tcPr>
          <w:p w14:paraId="2EE7DA48">
            <w:pPr>
              <w:jc w:val="center"/>
              <w:rPr>
                <w:rFonts w:ascii="宋体" w:hAnsi="宋体" w:cs="宋体"/>
                <w:sz w:val="24"/>
                <w:szCs w:val="24"/>
              </w:rPr>
            </w:pPr>
            <w:r>
              <w:rPr>
                <w:rFonts w:hint="eastAsia" w:ascii="宋体" w:hAnsi="宋体" w:cs="宋体"/>
                <w:sz w:val="24"/>
                <w:szCs w:val="24"/>
              </w:rPr>
              <w:t>其他</w:t>
            </w:r>
          </w:p>
        </w:tc>
        <w:tc>
          <w:tcPr>
            <w:tcW w:w="2196" w:type="dxa"/>
            <w:vAlign w:val="center"/>
          </w:tcPr>
          <w:p w14:paraId="5121762F">
            <w:pPr>
              <w:rPr>
                <w:rFonts w:ascii="宋体" w:hAnsi="宋体" w:cs="宋体"/>
                <w:sz w:val="24"/>
                <w:szCs w:val="24"/>
              </w:rPr>
            </w:pPr>
          </w:p>
        </w:tc>
        <w:tc>
          <w:tcPr>
            <w:tcW w:w="2222" w:type="dxa"/>
            <w:vAlign w:val="center"/>
          </w:tcPr>
          <w:p w14:paraId="36E1B47A">
            <w:pPr>
              <w:rPr>
                <w:rFonts w:ascii="宋体" w:hAnsi="宋体" w:cs="宋体"/>
                <w:sz w:val="24"/>
                <w:szCs w:val="24"/>
              </w:rPr>
            </w:pPr>
          </w:p>
        </w:tc>
        <w:tc>
          <w:tcPr>
            <w:tcW w:w="1978" w:type="dxa"/>
            <w:vAlign w:val="center"/>
          </w:tcPr>
          <w:p w14:paraId="6904C9F8">
            <w:pPr>
              <w:rPr>
                <w:rFonts w:ascii="宋体" w:hAnsi="宋体" w:cs="宋体"/>
                <w:sz w:val="24"/>
                <w:szCs w:val="24"/>
              </w:rPr>
            </w:pPr>
          </w:p>
        </w:tc>
      </w:tr>
    </w:tbl>
    <w:p w14:paraId="4C2C1FEB">
      <w:pPr>
        <w:snapToGrid w:val="0"/>
        <w:spacing w:line="360" w:lineRule="auto"/>
        <w:rPr>
          <w:rFonts w:ascii="宋体" w:hAnsi="宋体" w:cs="宋体"/>
          <w:sz w:val="24"/>
          <w:szCs w:val="24"/>
        </w:rPr>
      </w:pPr>
    </w:p>
    <w:p w14:paraId="63BEFE76">
      <w:pPr>
        <w:snapToGrid w:val="0"/>
        <w:spacing w:line="460" w:lineRule="exact"/>
        <w:rPr>
          <w:rFonts w:ascii="宋体" w:hAnsi="宋体" w:cs="宋体"/>
          <w:b/>
          <w:bCs/>
          <w:sz w:val="24"/>
          <w:szCs w:val="24"/>
        </w:rPr>
      </w:pPr>
    </w:p>
    <w:p w14:paraId="21779ED4">
      <w:pPr>
        <w:snapToGrid w:val="0"/>
        <w:spacing w:line="460" w:lineRule="exact"/>
        <w:rPr>
          <w:rFonts w:ascii="宋体" w:hAnsi="宋体" w:cs="宋体"/>
          <w:b/>
          <w:bCs/>
          <w:sz w:val="24"/>
          <w:szCs w:val="24"/>
        </w:rPr>
      </w:pPr>
      <w:r>
        <w:rPr>
          <w:rFonts w:hint="eastAsia" w:ascii="宋体" w:hAnsi="宋体" w:cs="宋体"/>
          <w:b/>
          <w:bCs/>
          <w:sz w:val="24"/>
          <w:szCs w:val="24"/>
        </w:rPr>
        <w:t>供应商签章：</w:t>
      </w:r>
    </w:p>
    <w:p w14:paraId="51009E2F">
      <w:pPr>
        <w:spacing w:line="460" w:lineRule="exact"/>
        <w:jc w:val="left"/>
        <w:rPr>
          <w:rFonts w:ascii="宋体" w:hAnsi="宋体" w:cs="宋体"/>
          <w:sz w:val="24"/>
          <w:szCs w:val="24"/>
        </w:rPr>
      </w:pPr>
      <w:r>
        <w:rPr>
          <w:rFonts w:hint="eastAsia" w:ascii="宋体" w:hAnsi="宋体" w:cs="宋体"/>
          <w:b/>
          <w:bCs/>
          <w:sz w:val="24"/>
          <w:szCs w:val="24"/>
        </w:rPr>
        <w:t>日期：   年   月   日</w:t>
      </w:r>
    </w:p>
    <w:p w14:paraId="1C866F38">
      <w:pPr>
        <w:spacing w:line="460" w:lineRule="exact"/>
        <w:rPr>
          <w:rFonts w:ascii="宋体" w:hAnsi="宋体" w:cs="宋体"/>
          <w:sz w:val="24"/>
          <w:szCs w:val="24"/>
        </w:rPr>
      </w:pPr>
    </w:p>
    <w:p w14:paraId="22139898">
      <w:pPr>
        <w:spacing w:line="500" w:lineRule="exact"/>
        <w:rPr>
          <w:rStyle w:val="114"/>
          <w:rFonts w:hint="eastAsia" w:ascii="宋体" w:hAnsi="宋体" w:cs="宋体"/>
          <w:sz w:val="24"/>
          <w:szCs w:val="24"/>
          <w:lang w:val="en-US" w:eastAsia="zh-CN"/>
        </w:rPr>
      </w:pPr>
      <w:r>
        <w:rPr>
          <w:rFonts w:hint="eastAsia" w:ascii="宋体" w:hAnsi="宋体" w:cs="宋体"/>
          <w:b/>
          <w:bCs/>
          <w:sz w:val="24"/>
          <w:szCs w:val="24"/>
        </w:rPr>
        <w:t>注：</w:t>
      </w:r>
      <w:r>
        <w:rPr>
          <w:rFonts w:hint="eastAsia" w:ascii="宋体" w:hAnsi="宋体" w:cs="宋体"/>
          <w:sz w:val="24"/>
          <w:szCs w:val="28"/>
        </w:rPr>
        <w:t>提供的服务满足采购需求；付款及服务期等均应响应磋商文件要求。</w:t>
      </w:r>
      <w:r>
        <w:rPr>
          <w:rFonts w:hint="eastAsia" w:ascii="宋体" w:hAnsi="宋体" w:cs="宋体"/>
          <w:bCs/>
          <w:sz w:val="24"/>
          <w:szCs w:val="24"/>
        </w:rPr>
        <w:br w:type="page"/>
      </w:r>
      <w:bookmarkStart w:id="92" w:name="_Toc22037"/>
      <w:bookmarkStart w:id="93" w:name="_Toc29422"/>
      <w:r>
        <w:rPr>
          <w:rStyle w:val="114"/>
          <w:rFonts w:hint="eastAsia" w:ascii="宋体" w:hAnsi="宋体" w:eastAsia="宋体" w:cs="宋体"/>
          <w:sz w:val="24"/>
          <w:szCs w:val="24"/>
        </w:rPr>
        <w:t>附件</w:t>
      </w:r>
      <w:bookmarkEnd w:id="91"/>
      <w:r>
        <w:rPr>
          <w:rStyle w:val="114"/>
          <w:rFonts w:hint="eastAsia" w:ascii="宋体" w:hAnsi="宋体" w:eastAsia="宋体" w:cs="宋体"/>
          <w:sz w:val="24"/>
          <w:szCs w:val="24"/>
        </w:rPr>
        <w:t>七</w:t>
      </w:r>
      <w:bookmarkEnd w:id="92"/>
      <w:bookmarkEnd w:id="93"/>
      <w:bookmarkStart w:id="94" w:name="_Toc22695"/>
    </w:p>
    <w:p w14:paraId="28438FD9">
      <w:pPr>
        <w:pStyle w:val="5"/>
        <w:bidi w:val="0"/>
        <w:ind w:left="0" w:leftChars="0" w:right="0" w:rightChars="0" w:firstLine="0" w:firstLineChars="0"/>
        <w:jc w:val="center"/>
        <w:rPr>
          <w:rFonts w:ascii="仿宋_GB2312" w:hAnsi="仿宋_GB2312"/>
          <w:szCs w:val="28"/>
        </w:rPr>
      </w:pPr>
      <w:bookmarkStart w:id="95" w:name="_Toc26544"/>
      <w:r>
        <w:rPr>
          <w:rFonts w:hint="eastAsia" w:ascii="宋体" w:hAnsi="宋体" w:eastAsia="宋体" w:cs="宋体"/>
          <w:sz w:val="24"/>
          <w:szCs w:val="16"/>
        </w:rPr>
        <w:t>中小企业声明函</w:t>
      </w:r>
      <w:bookmarkEnd w:id="94"/>
      <w:bookmarkEnd w:id="95"/>
    </w:p>
    <w:p w14:paraId="73A7F171">
      <w:pPr>
        <w:autoSpaceDE w:val="0"/>
        <w:spacing w:line="50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 xml:space="preserve"> 采购活动，工程的施工单位全部为符合政策要求的中小企业（或者：服务全部由符合政策要求的中小企业承接）。相关企业（含联合体中的中小企业、签订分包意向协议的中小企业）的具体情况如下：</w:t>
      </w:r>
    </w:p>
    <w:p w14:paraId="7D4B2C26">
      <w:pPr>
        <w:autoSpaceDE w:val="0"/>
        <w:spacing w:line="5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23292716">
      <w:pPr>
        <w:autoSpaceDE w:val="0"/>
        <w:spacing w:line="5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，从业人员＿＿人，营业收入为＿＿万元，资产总额为＿＿万元，属于</w:t>
      </w:r>
      <w:r>
        <w:rPr>
          <w:rFonts w:hint="eastAsia" w:ascii="宋体" w:hAnsi="宋体" w:cs="宋体"/>
          <w:sz w:val="24"/>
          <w:szCs w:val="24"/>
          <w:u w:val="single"/>
        </w:rPr>
        <w:t>（中型企业、小型企业、微型企业）；</w:t>
      </w:r>
    </w:p>
    <w:p w14:paraId="46F7EC4C">
      <w:pPr>
        <w:autoSpaceDE w:val="0"/>
        <w:spacing w:line="500" w:lineRule="exact"/>
        <w:ind w:firstLine="480" w:firstLineChars="200"/>
        <w:rPr>
          <w:rFonts w:ascii="宋体" w:hAnsi="宋体" w:cs="宋体"/>
          <w:sz w:val="24"/>
          <w:szCs w:val="24"/>
        </w:rPr>
      </w:pPr>
      <w:r>
        <w:rPr>
          <w:rFonts w:hint="eastAsia" w:ascii="宋体" w:hAnsi="宋体" w:cs="宋体"/>
          <w:sz w:val="24"/>
          <w:szCs w:val="24"/>
        </w:rPr>
        <w:t>......</w:t>
      </w:r>
    </w:p>
    <w:p w14:paraId="280A6A9B">
      <w:pPr>
        <w:pStyle w:val="3"/>
        <w:autoSpaceDE w:val="0"/>
        <w:spacing w:after="0" w:line="500" w:lineRule="exact"/>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2E792FFB">
      <w:pPr>
        <w:spacing w:line="500" w:lineRule="exact"/>
        <w:ind w:left="4798" w:leftChars="342" w:hanging="4080" w:hangingChars="1700"/>
        <w:rPr>
          <w:rFonts w:hint="eastAsia" w:ascii="宋体" w:hAnsi="宋体" w:cs="宋体"/>
          <w:bCs/>
          <w:sz w:val="24"/>
          <w:lang w:val="en-US" w:eastAsia="zh-CN"/>
        </w:rPr>
      </w:pPr>
      <w:r>
        <w:rPr>
          <w:rFonts w:hint="eastAsia" w:ascii="宋体" w:hAnsi="宋体" w:cs="宋体"/>
          <w:sz w:val="24"/>
        </w:rPr>
        <w:t>本企业对上述声明内容的真实性负责。</w:t>
      </w:r>
      <w:r>
        <w:rPr>
          <w:rFonts w:hint="eastAsia" w:ascii="宋体" w:hAnsi="宋体" w:cs="宋体"/>
          <w:bCs/>
          <w:sz w:val="24"/>
        </w:rPr>
        <w:t>如有虚假，</w:t>
      </w:r>
      <w:r>
        <w:rPr>
          <w:rFonts w:hint="eastAsia" w:ascii="宋体" w:hAnsi="宋体" w:cs="宋体"/>
          <w:bCs/>
          <w:sz w:val="24"/>
          <w:lang w:eastAsia="zh-CN"/>
        </w:rPr>
        <w:t>将依法承担相应责任。</w:t>
      </w:r>
      <w:r>
        <w:rPr>
          <w:rFonts w:hint="eastAsia" w:ascii="宋体" w:hAnsi="宋体" w:cs="宋体"/>
          <w:bCs/>
          <w:sz w:val="24"/>
          <w:lang w:val="en-US" w:eastAsia="zh-CN"/>
        </w:rPr>
        <w:t xml:space="preserve">        </w:t>
      </w:r>
    </w:p>
    <w:p w14:paraId="33880602">
      <w:pPr>
        <w:spacing w:line="500" w:lineRule="exact"/>
        <w:ind w:left="4788" w:leftChars="2280" w:firstLine="0" w:firstLineChars="0"/>
        <w:rPr>
          <w:rFonts w:hint="eastAsia" w:ascii="宋体" w:hAnsi="宋体" w:cs="宋体"/>
          <w:bCs/>
          <w:sz w:val="24"/>
          <w:lang w:val="en-US" w:eastAsia="zh-CN"/>
        </w:rPr>
      </w:pPr>
    </w:p>
    <w:p w14:paraId="4583B925">
      <w:pPr>
        <w:spacing w:line="500" w:lineRule="exact"/>
        <w:ind w:left="4788" w:leftChars="2280" w:firstLine="0" w:firstLineChars="0"/>
        <w:rPr>
          <w:rFonts w:ascii="宋体"/>
          <w:sz w:val="24"/>
          <w:szCs w:val="24"/>
          <w:u w:val="single"/>
        </w:rPr>
      </w:pPr>
      <w:r>
        <w:rPr>
          <w:rFonts w:hint="eastAsia" w:ascii="宋体" w:hAnsi="宋体"/>
          <w:sz w:val="24"/>
          <w:szCs w:val="24"/>
        </w:rPr>
        <w:t>供应商签章：</w:t>
      </w:r>
      <w:r>
        <w:rPr>
          <w:rFonts w:ascii="宋体" w:hAnsi="宋体"/>
          <w:sz w:val="24"/>
          <w:szCs w:val="24"/>
          <w:u w:val="single"/>
        </w:rPr>
        <w:t xml:space="preserve">              </w:t>
      </w:r>
    </w:p>
    <w:p w14:paraId="3D72FE34">
      <w:pPr>
        <w:autoSpaceDE w:val="0"/>
        <w:spacing w:line="500" w:lineRule="exact"/>
        <w:ind w:firstLine="480" w:firstLineChars="200"/>
        <w:jc w:val="center"/>
        <w:rPr>
          <w:rFonts w:ascii="宋体" w:hAnsi="宋体"/>
          <w:sz w:val="24"/>
          <w:szCs w:val="24"/>
        </w:rPr>
      </w:pPr>
      <w:r>
        <w:rPr>
          <w:rFonts w:hint="eastAsia" w:ascii="宋体" w:hAnsi="宋体"/>
          <w:sz w:val="24"/>
          <w:szCs w:val="24"/>
        </w:rPr>
        <w:t xml:space="preserve">                 日 </w:t>
      </w:r>
      <w:r>
        <w:rPr>
          <w:rFonts w:ascii="宋体" w:hAnsi="宋体"/>
          <w:sz w:val="24"/>
          <w:szCs w:val="24"/>
        </w:rPr>
        <w:t xml:space="preserve">  </w:t>
      </w:r>
      <w:r>
        <w:rPr>
          <w:rFonts w:hint="eastAsia" w:ascii="宋体" w:hAnsi="宋体"/>
          <w:sz w:val="24"/>
          <w:szCs w:val="24"/>
        </w:rPr>
        <w:t xml:space="preserve">       期：</w:t>
      </w:r>
    </w:p>
    <w:p w14:paraId="08A85DB8">
      <w:pPr>
        <w:pStyle w:val="2"/>
      </w:pPr>
    </w:p>
    <w:p w14:paraId="080F36D6">
      <w:pPr>
        <w:spacing w:line="500" w:lineRule="exact"/>
        <w:rPr>
          <w:rFonts w:ascii="宋体" w:hAnsi="宋体" w:cs="宋体"/>
          <w:sz w:val="24"/>
          <w:szCs w:val="24"/>
        </w:rPr>
      </w:pPr>
      <w:r>
        <w:rPr>
          <w:rFonts w:hint="eastAsia" w:ascii="宋体" w:hAnsi="宋体" w:cs="宋体"/>
          <w:b/>
          <w:bCs/>
          <w:sz w:val="24"/>
          <w:szCs w:val="24"/>
        </w:rPr>
        <w:t>注：</w:t>
      </w:r>
      <w:r>
        <w:rPr>
          <w:rFonts w:hint="eastAsia" w:ascii="宋体" w:hAnsi="宋体" w:cs="宋体"/>
          <w:sz w:val="24"/>
          <w:szCs w:val="24"/>
        </w:rPr>
        <w:t>1、从业人员、营业收入、资产总额填报上一年度数据，无上一年度数据的新成立企业可不填报。</w:t>
      </w:r>
    </w:p>
    <w:p w14:paraId="546A571B">
      <w:pPr>
        <w:pStyle w:val="2"/>
        <w:spacing w:after="0" w:line="500" w:lineRule="exact"/>
        <w:ind w:firstLine="480" w:firstLineChars="200"/>
        <w:rPr>
          <w:rFonts w:ascii="宋体" w:hAnsi="宋体"/>
          <w:b/>
          <w:bCs/>
          <w:szCs w:val="24"/>
        </w:rPr>
      </w:pPr>
      <w:r>
        <w:rPr>
          <w:rFonts w:hint="eastAsia"/>
        </w:rPr>
        <w:t>2、企业划型标准按照《关于印发中小企业划型标准规定的通知》（工信部联企业〔2011〕300号）规定执行。</w:t>
      </w:r>
      <w:r>
        <w:rPr>
          <w:rFonts w:hint="eastAsia" w:ascii="宋体" w:hAnsi="宋体"/>
          <w:b/>
          <w:bCs/>
          <w:szCs w:val="24"/>
        </w:rPr>
        <w:br w:type="page"/>
      </w:r>
    </w:p>
    <w:p w14:paraId="1249E4AD">
      <w:pPr>
        <w:pStyle w:val="5"/>
        <w:bidi w:val="0"/>
        <w:ind w:left="0" w:leftChars="0" w:right="0" w:rightChars="0" w:firstLine="0" w:firstLineChars="0"/>
        <w:jc w:val="center"/>
        <w:rPr>
          <w:rFonts w:ascii="宋体" w:hAnsi="宋体"/>
          <w:b/>
          <w:bCs/>
          <w:szCs w:val="24"/>
        </w:rPr>
      </w:pPr>
      <w:bookmarkStart w:id="96" w:name="_Toc9667"/>
      <w:r>
        <w:rPr>
          <w:rFonts w:hint="eastAsia" w:ascii="宋体" w:hAnsi="宋体" w:eastAsia="宋体" w:cs="宋体"/>
          <w:sz w:val="24"/>
          <w:szCs w:val="16"/>
        </w:rPr>
        <w:t>残疾人福利性单位声明函</w:t>
      </w:r>
      <w:bookmarkEnd w:id="96"/>
    </w:p>
    <w:p w14:paraId="63772307">
      <w:pPr>
        <w:pStyle w:val="18"/>
        <w:spacing w:line="480" w:lineRule="exact"/>
        <w:jc w:val="center"/>
        <w:rPr>
          <w:rFonts w:ascii="宋体" w:hAnsi="宋体" w:eastAsia="宋体" w:cs="宋体"/>
          <w:bCs/>
          <w:sz w:val="24"/>
          <w:szCs w:val="24"/>
        </w:rPr>
      </w:pPr>
      <w:r>
        <w:rPr>
          <w:rFonts w:hint="eastAsia" w:ascii="宋体" w:hAnsi="宋体" w:eastAsia="宋体" w:cs="宋体"/>
          <w:bCs/>
          <w:sz w:val="24"/>
          <w:szCs w:val="24"/>
        </w:rPr>
        <w:t>（非残疾人福利性单位不需此件）</w:t>
      </w:r>
    </w:p>
    <w:p w14:paraId="505D491F">
      <w:pPr>
        <w:spacing w:line="480" w:lineRule="exact"/>
      </w:pPr>
    </w:p>
    <w:p w14:paraId="6439E92C">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u w:val="single"/>
        </w:rPr>
        <w:t xml:space="preserve">     </w:t>
      </w:r>
      <w:r>
        <w:rPr>
          <w:rFonts w:hint="eastAsia" w:ascii="宋体" w:hAnsi="宋体"/>
          <w:bCs/>
          <w:sz w:val="24"/>
          <w:szCs w:val="24"/>
          <w:lang w:val="zh-CN"/>
        </w:rPr>
        <w:t>项目（项目编号：</w:t>
      </w:r>
      <w:r>
        <w:rPr>
          <w:rFonts w:hint="eastAsia" w:ascii="宋体" w:hAnsi="宋体"/>
          <w:bCs/>
          <w:sz w:val="24"/>
          <w:szCs w:val="24"/>
          <w:u w:val="single"/>
        </w:rPr>
        <w:t xml:space="preserve">     </w:t>
      </w:r>
      <w:r>
        <w:rPr>
          <w:rFonts w:hint="eastAsia" w:ascii="宋体" w:hAnsi="宋体"/>
          <w:bCs/>
          <w:sz w:val="24"/>
          <w:szCs w:val="24"/>
          <w:lang w:val="zh-CN"/>
        </w:rPr>
        <w:t>）采购活动由本单位提供服务。</w:t>
      </w:r>
    </w:p>
    <w:p w14:paraId="68B1DB9C">
      <w:pPr>
        <w:autoSpaceDE w:val="0"/>
        <w:autoSpaceDN w:val="0"/>
        <w:spacing w:line="480" w:lineRule="exact"/>
        <w:ind w:right="40" w:firstLine="480" w:firstLineChars="200"/>
        <w:rPr>
          <w:rFonts w:ascii="宋体" w:hAnsi="宋体"/>
          <w:bCs/>
          <w:sz w:val="24"/>
          <w:szCs w:val="24"/>
          <w:lang w:val="zh-CN"/>
        </w:rPr>
      </w:pPr>
      <w:r>
        <w:rPr>
          <w:rFonts w:hint="eastAsia" w:ascii="宋体" w:hAnsi="宋体"/>
          <w:bCs/>
          <w:sz w:val="24"/>
          <w:szCs w:val="24"/>
          <w:lang w:val="zh-CN"/>
        </w:rPr>
        <w:t>本单位对上述声明的真实性负责。如有虚假，将依法承担相应责任。</w:t>
      </w:r>
    </w:p>
    <w:p w14:paraId="76DDCB91">
      <w:pPr>
        <w:spacing w:line="480" w:lineRule="exact"/>
        <w:rPr>
          <w:rFonts w:ascii="宋体" w:hAnsi="宋体"/>
          <w:bCs/>
          <w:sz w:val="24"/>
          <w:szCs w:val="24"/>
        </w:rPr>
      </w:pPr>
    </w:p>
    <w:p w14:paraId="3AA058FE">
      <w:pPr>
        <w:spacing w:line="480" w:lineRule="exact"/>
        <w:ind w:firstLine="5040" w:firstLineChars="2100"/>
        <w:rPr>
          <w:rFonts w:ascii="宋体"/>
          <w:sz w:val="24"/>
          <w:szCs w:val="24"/>
          <w:u w:val="single"/>
        </w:rPr>
      </w:pPr>
      <w:r>
        <w:rPr>
          <w:rFonts w:hint="eastAsia" w:ascii="宋体" w:hAnsi="宋体"/>
          <w:sz w:val="24"/>
          <w:szCs w:val="24"/>
        </w:rPr>
        <w:t>供应商签章：</w:t>
      </w:r>
      <w:r>
        <w:rPr>
          <w:rFonts w:ascii="宋体" w:hAnsi="宋体"/>
          <w:sz w:val="24"/>
          <w:szCs w:val="24"/>
          <w:u w:val="single"/>
        </w:rPr>
        <w:t xml:space="preserve">              </w:t>
      </w:r>
    </w:p>
    <w:p w14:paraId="7FD6E9B7">
      <w:pPr>
        <w:tabs>
          <w:tab w:val="left" w:pos="4620"/>
        </w:tabs>
        <w:spacing w:line="480" w:lineRule="exact"/>
        <w:ind w:firstLine="5040" w:firstLineChars="2100"/>
        <w:jc w:val="left"/>
        <w:rPr>
          <w:rFonts w:ascii="宋体" w:hAnsi="宋体" w:cs="宋体"/>
          <w:b/>
          <w:sz w:val="24"/>
          <w:szCs w:val="24"/>
          <w:u w:val="single"/>
        </w:rPr>
      </w:pP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 xml:space="preserve">       期：</w:t>
      </w:r>
      <w:r>
        <w:rPr>
          <w:rFonts w:hint="eastAsia" w:ascii="宋体" w:hAnsi="宋体" w:cs="宋体"/>
          <w:b/>
          <w:sz w:val="24"/>
          <w:szCs w:val="24"/>
          <w:u w:val="single"/>
        </w:rPr>
        <w:t xml:space="preserve">                                          </w:t>
      </w:r>
    </w:p>
    <w:p w14:paraId="236C760F">
      <w:pPr>
        <w:pStyle w:val="5"/>
        <w:spacing w:before="0" w:after="0"/>
        <w:rPr>
          <w:rFonts w:hint="eastAsia" w:ascii="宋体" w:hAnsi="宋体" w:eastAsia="宋体" w:cs="宋体"/>
          <w:sz w:val="24"/>
          <w:szCs w:val="24"/>
          <w:lang w:eastAsia="zh-CN"/>
        </w:rPr>
      </w:pPr>
      <w:r>
        <w:rPr>
          <w:rFonts w:hint="eastAsia" w:ascii="宋体" w:hAnsi="宋体" w:cs="宋体"/>
          <w:sz w:val="24"/>
          <w:szCs w:val="24"/>
        </w:rPr>
        <w:br w:type="page"/>
      </w:r>
      <w:bookmarkStart w:id="97" w:name="_Toc29641"/>
      <w:r>
        <w:rPr>
          <w:rFonts w:hint="eastAsia" w:ascii="宋体" w:hAnsi="宋体" w:eastAsia="宋体" w:cs="宋体"/>
          <w:sz w:val="24"/>
          <w:szCs w:val="24"/>
        </w:rPr>
        <w:t>附件</w:t>
      </w:r>
      <w:r>
        <w:rPr>
          <w:rFonts w:hint="eastAsia" w:ascii="宋体" w:hAnsi="宋体" w:eastAsia="宋体" w:cs="宋体"/>
          <w:sz w:val="24"/>
          <w:szCs w:val="24"/>
          <w:lang w:eastAsia="zh-CN"/>
        </w:rPr>
        <w:t>八</w:t>
      </w:r>
      <w:bookmarkEnd w:id="97"/>
    </w:p>
    <w:p w14:paraId="0A6CB689">
      <w:pPr>
        <w:pStyle w:val="5"/>
        <w:spacing w:before="0" w:after="0" w:line="560" w:lineRule="exact"/>
        <w:jc w:val="center"/>
        <w:rPr>
          <w:rFonts w:ascii="宋体" w:hAnsi="宋体" w:eastAsia="宋体" w:cs="宋体"/>
          <w:sz w:val="24"/>
          <w:szCs w:val="24"/>
        </w:rPr>
      </w:pPr>
      <w:bookmarkStart w:id="98" w:name="_Toc28327"/>
      <w:bookmarkStart w:id="99" w:name="_Toc20094"/>
      <w:bookmarkStart w:id="100" w:name="_Toc5794"/>
      <w:bookmarkStart w:id="101" w:name="_Toc26919"/>
      <w:r>
        <w:rPr>
          <w:rFonts w:hint="eastAsia" w:ascii="宋体" w:hAnsi="宋体" w:eastAsia="宋体" w:cs="宋体"/>
          <w:sz w:val="24"/>
          <w:szCs w:val="24"/>
        </w:rPr>
        <w:t>联合体协议</w:t>
      </w:r>
      <w:bookmarkEnd w:id="98"/>
      <w:bookmarkEnd w:id="99"/>
      <w:bookmarkEnd w:id="100"/>
      <w:bookmarkEnd w:id="101"/>
    </w:p>
    <w:p w14:paraId="1B62D6C9">
      <w:pPr>
        <w:spacing w:line="360" w:lineRule="auto"/>
        <w:jc w:val="center"/>
        <w:rPr>
          <w:rFonts w:ascii="宋体" w:hAnsi="宋体" w:cs="宋体"/>
          <w:sz w:val="24"/>
          <w:szCs w:val="24"/>
        </w:rPr>
      </w:pPr>
      <w:r>
        <w:rPr>
          <w:rFonts w:hint="eastAsia" w:ascii="宋体" w:hAnsi="宋体" w:cs="宋体"/>
          <w:sz w:val="24"/>
          <w:szCs w:val="24"/>
        </w:rPr>
        <w:t>（不允许联合体参加磋商或未组成联合体的，不需此件）</w:t>
      </w:r>
    </w:p>
    <w:p w14:paraId="233DAEE8">
      <w:pPr>
        <w:spacing w:line="360" w:lineRule="auto"/>
        <w:jc w:val="center"/>
        <w:rPr>
          <w:rFonts w:ascii="宋体" w:hAnsi="宋体" w:cs="宋体"/>
          <w:spacing w:val="-6"/>
          <w:sz w:val="24"/>
          <w:szCs w:val="24"/>
        </w:rPr>
      </w:pPr>
      <w:r>
        <w:rPr>
          <w:rFonts w:hint="eastAsia" w:ascii="宋体" w:hAnsi="宋体" w:cs="宋体"/>
          <w:spacing w:val="-6"/>
          <w:sz w:val="24"/>
          <w:szCs w:val="24"/>
        </w:rPr>
        <w:t>（允许联合体参加磋商且供应商为联合体的，请将此件加盖公章后制成扫描件上传）</w:t>
      </w:r>
    </w:p>
    <w:p w14:paraId="430B62C4">
      <w:pPr>
        <w:rPr>
          <w:rFonts w:ascii="宋体" w:hAnsi="宋体" w:cs="宋体"/>
          <w:sz w:val="24"/>
          <w:szCs w:val="24"/>
        </w:rPr>
      </w:pPr>
    </w:p>
    <w:p w14:paraId="2F8A4188">
      <w:pP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与</w:t>
      </w:r>
      <w:r>
        <w:rPr>
          <w:rFonts w:hint="eastAsia" w:ascii="宋体" w:hAnsi="宋体" w:cs="宋体"/>
          <w:sz w:val="24"/>
          <w:szCs w:val="24"/>
          <w:u w:val="single"/>
        </w:rPr>
        <w:t xml:space="preserve">          </w:t>
      </w:r>
      <w:r>
        <w:rPr>
          <w:rFonts w:hint="eastAsia" w:ascii="宋体" w:hAnsi="宋体" w:cs="宋体"/>
          <w:sz w:val="24"/>
          <w:szCs w:val="24"/>
        </w:rPr>
        <w:t>就“</w:t>
      </w:r>
      <w:r>
        <w:rPr>
          <w:rFonts w:hint="eastAsia" w:ascii="宋体" w:hAnsi="宋体" w:cs="宋体"/>
          <w:sz w:val="24"/>
          <w:szCs w:val="24"/>
          <w:u w:val="single"/>
        </w:rPr>
        <w:t>某项目</w:t>
      </w:r>
      <w:r>
        <w:rPr>
          <w:rFonts w:hint="eastAsia" w:ascii="宋体" w:hAnsi="宋体" w:cs="宋体"/>
          <w:sz w:val="24"/>
          <w:szCs w:val="24"/>
        </w:rPr>
        <w:t>”（项目编号：</w:t>
      </w:r>
      <w:r>
        <w:rPr>
          <w:rFonts w:hint="eastAsia" w:ascii="宋体" w:hAnsi="宋体" w:cs="宋体"/>
          <w:sz w:val="24"/>
          <w:szCs w:val="24"/>
          <w:u w:val="single"/>
        </w:rPr>
        <w:t>某编号</w:t>
      </w:r>
      <w:r>
        <w:rPr>
          <w:rFonts w:hint="eastAsia" w:ascii="宋体" w:hAnsi="宋体" w:cs="宋体"/>
          <w:sz w:val="24"/>
          <w:szCs w:val="24"/>
        </w:rPr>
        <w:t>）的磋商有关事宜，经各方充分协商一致，达成如下协议：</w:t>
      </w:r>
    </w:p>
    <w:p w14:paraId="0526EF42">
      <w:pPr>
        <w:spacing w:line="360" w:lineRule="auto"/>
        <w:ind w:firstLine="480" w:firstLineChars="200"/>
        <w:rPr>
          <w:rFonts w:ascii="宋体" w:hAnsi="宋体" w:cs="宋体"/>
          <w:sz w:val="24"/>
          <w:szCs w:val="24"/>
        </w:rPr>
      </w:pPr>
      <w:r>
        <w:rPr>
          <w:rFonts w:hint="eastAsia" w:ascii="宋体" w:hAnsi="宋体" w:cs="宋体"/>
          <w:sz w:val="24"/>
          <w:szCs w:val="24"/>
        </w:rPr>
        <w:t>一、由</w:t>
      </w:r>
      <w:r>
        <w:rPr>
          <w:rFonts w:hint="eastAsia" w:ascii="宋体" w:hAnsi="宋体" w:cs="宋体"/>
          <w:sz w:val="24"/>
          <w:szCs w:val="24"/>
          <w:u w:val="single"/>
        </w:rPr>
        <w:t xml:space="preserve">    </w:t>
      </w:r>
      <w:r>
        <w:rPr>
          <w:rFonts w:hint="eastAsia" w:ascii="宋体" w:hAnsi="宋体" w:cs="宋体"/>
          <w:sz w:val="24"/>
          <w:szCs w:val="24"/>
        </w:rPr>
        <w:t>牵头，</w:t>
      </w:r>
      <w:r>
        <w:rPr>
          <w:rFonts w:hint="eastAsia" w:ascii="宋体" w:hAnsi="宋体" w:cs="宋体"/>
          <w:sz w:val="24"/>
          <w:szCs w:val="24"/>
          <w:u w:val="single"/>
        </w:rPr>
        <w:t xml:space="preserve">    </w:t>
      </w:r>
      <w:r>
        <w:rPr>
          <w:rFonts w:hint="eastAsia" w:ascii="宋体" w:hAnsi="宋体" w:cs="宋体"/>
          <w:sz w:val="24"/>
          <w:szCs w:val="24"/>
        </w:rPr>
        <w:t>参加，组成联合体共同进行本项目的磋商工作。</w:t>
      </w:r>
    </w:p>
    <w:p w14:paraId="092BAB95">
      <w:pPr>
        <w:spacing w:line="360" w:lineRule="auto"/>
        <w:ind w:firstLine="480" w:firstLineChars="200"/>
        <w:rPr>
          <w:rFonts w:ascii="宋体" w:hAnsi="宋体" w:cs="宋体"/>
          <w:sz w:val="24"/>
          <w:szCs w:val="24"/>
        </w:rPr>
      </w:pPr>
      <w:r>
        <w:rPr>
          <w:rFonts w:hint="eastAsia" w:ascii="宋体" w:hAnsi="宋体" w:cs="宋体"/>
          <w:sz w:val="24"/>
          <w:szCs w:val="24"/>
        </w:rPr>
        <w:t>二、</w:t>
      </w:r>
      <w:r>
        <w:rPr>
          <w:rFonts w:hint="eastAsia" w:ascii="宋体" w:hAnsi="宋体" w:cs="宋体"/>
          <w:sz w:val="24"/>
          <w:szCs w:val="24"/>
          <w:u w:val="single"/>
        </w:rPr>
        <w:t xml:space="preserve">          </w:t>
      </w:r>
      <w:r>
        <w:rPr>
          <w:rFonts w:hint="eastAsia" w:ascii="宋体" w:hAnsi="宋体" w:cs="宋体"/>
          <w:sz w:val="24"/>
          <w:szCs w:val="24"/>
        </w:rPr>
        <w:t>为本次磋商的主体方，联合体以主体方的名义参加磋商。主体方负责磋商项目的一切组织、协调工作，并授权磋商代理人以联合体的名义参加项目的磋商，代理人在响应文件提交、磋商、合同签订过程中所签署的一切文件和处理与本次采购的有关一切事物，联合体各方均予以承认并承担法律责任。联合体成交后，联合体各方共同与采购人签订合同，就本成交项目对采购人承担连带责任。</w:t>
      </w:r>
    </w:p>
    <w:p w14:paraId="0C7E501E">
      <w:pPr>
        <w:spacing w:line="360" w:lineRule="auto"/>
        <w:ind w:firstLine="480" w:firstLineChars="200"/>
        <w:rPr>
          <w:rFonts w:ascii="宋体" w:hAnsi="宋体" w:cs="宋体"/>
          <w:sz w:val="24"/>
          <w:szCs w:val="24"/>
        </w:rPr>
      </w:pPr>
      <w:r>
        <w:rPr>
          <w:rFonts w:hint="eastAsia" w:ascii="宋体" w:hAnsi="宋体" w:cs="宋体"/>
          <w:sz w:val="24"/>
          <w:szCs w:val="24"/>
        </w:rPr>
        <w:t>三、如联合体成交，则主体方负责</w:t>
      </w:r>
      <w:r>
        <w:rPr>
          <w:rFonts w:hint="eastAsia" w:ascii="宋体" w:hAnsi="宋体" w:cs="宋体"/>
          <w:sz w:val="24"/>
          <w:szCs w:val="24"/>
          <w:u w:val="single"/>
        </w:rPr>
        <w:t xml:space="preserve">                             </w:t>
      </w:r>
      <w:r>
        <w:rPr>
          <w:rFonts w:hint="eastAsia" w:ascii="宋体" w:hAnsi="宋体" w:cs="宋体"/>
          <w:sz w:val="24"/>
          <w:szCs w:val="24"/>
        </w:rPr>
        <w:t>等工作；参加方负责</w:t>
      </w:r>
      <w:r>
        <w:rPr>
          <w:rFonts w:hint="eastAsia" w:ascii="宋体" w:hAnsi="宋体" w:cs="宋体"/>
          <w:sz w:val="24"/>
          <w:szCs w:val="24"/>
          <w:u w:val="single"/>
        </w:rPr>
        <w:t xml:space="preserve">                     </w:t>
      </w:r>
      <w:r>
        <w:rPr>
          <w:rFonts w:hint="eastAsia" w:ascii="宋体" w:hAnsi="宋体" w:cs="宋体"/>
          <w:sz w:val="24"/>
          <w:szCs w:val="24"/>
        </w:rPr>
        <w:t xml:space="preserve"> 等工作。各方各自承担相应的责任。</w:t>
      </w:r>
    </w:p>
    <w:p w14:paraId="7D87D515">
      <w:pPr>
        <w:spacing w:line="360" w:lineRule="auto"/>
        <w:ind w:firstLine="480" w:firstLineChars="200"/>
        <w:rPr>
          <w:rFonts w:ascii="宋体" w:hAnsi="宋体" w:cs="宋体"/>
          <w:sz w:val="24"/>
          <w:szCs w:val="24"/>
        </w:rPr>
      </w:pPr>
      <w:r>
        <w:rPr>
          <w:rFonts w:hint="eastAsia" w:ascii="宋体" w:hAnsi="宋体" w:cs="宋体"/>
          <w:sz w:val="24"/>
          <w:szCs w:val="24"/>
        </w:rPr>
        <w:t>四、各方不得再以自己名义单独在本项目中参加磋商，也不得组成新的联合体参加本项目磋商。</w:t>
      </w:r>
    </w:p>
    <w:p w14:paraId="47E41664">
      <w:pPr>
        <w:spacing w:line="360" w:lineRule="auto"/>
        <w:ind w:firstLine="480" w:firstLineChars="200"/>
        <w:rPr>
          <w:rFonts w:ascii="宋体" w:hAnsi="宋体" w:cs="宋体"/>
          <w:sz w:val="24"/>
          <w:szCs w:val="24"/>
        </w:rPr>
      </w:pPr>
      <w:r>
        <w:rPr>
          <w:rFonts w:hint="eastAsia" w:ascii="宋体" w:hAnsi="宋体" w:cs="宋体"/>
          <w:sz w:val="24"/>
          <w:szCs w:val="24"/>
        </w:rPr>
        <w:t>五、参加方负责内容的合同金额占联合体协议合同总金额百分之</w:t>
      </w:r>
      <w:r>
        <w:rPr>
          <w:rFonts w:hint="eastAsia" w:ascii="宋体" w:hAnsi="宋体" w:cs="宋体"/>
          <w:sz w:val="24"/>
          <w:szCs w:val="24"/>
          <w:u w:val="single"/>
        </w:rPr>
        <w:t xml:space="preserve">      </w:t>
      </w:r>
      <w:r>
        <w:rPr>
          <w:rFonts w:hint="eastAsia" w:ascii="宋体" w:hAnsi="宋体" w:cs="宋体"/>
          <w:sz w:val="24"/>
          <w:szCs w:val="24"/>
        </w:rPr>
        <w:t>。</w:t>
      </w:r>
    </w:p>
    <w:p w14:paraId="72918BC7">
      <w:pPr>
        <w:spacing w:line="360" w:lineRule="auto"/>
        <w:ind w:firstLine="480" w:firstLineChars="200"/>
        <w:rPr>
          <w:rFonts w:ascii="宋体" w:hAnsi="宋体" w:cs="宋体"/>
          <w:sz w:val="24"/>
          <w:szCs w:val="24"/>
        </w:rPr>
      </w:pPr>
      <w:r>
        <w:rPr>
          <w:rFonts w:hint="eastAsia" w:ascii="宋体" w:hAnsi="宋体" w:cs="宋体"/>
          <w:sz w:val="24"/>
          <w:szCs w:val="24"/>
        </w:rPr>
        <w:t>六、主体方负责内容的合同金额占联合体协议合同总金额百分之</w:t>
      </w:r>
      <w:r>
        <w:rPr>
          <w:rFonts w:hint="eastAsia" w:ascii="宋体" w:hAnsi="宋体" w:cs="宋体"/>
          <w:sz w:val="24"/>
          <w:szCs w:val="24"/>
          <w:u w:val="single"/>
        </w:rPr>
        <w:t xml:space="preserve">      </w:t>
      </w:r>
      <w:r>
        <w:rPr>
          <w:rFonts w:hint="eastAsia" w:ascii="宋体" w:hAnsi="宋体" w:cs="宋体"/>
          <w:sz w:val="24"/>
          <w:szCs w:val="24"/>
        </w:rPr>
        <w:t>。</w:t>
      </w:r>
    </w:p>
    <w:p w14:paraId="61385E92">
      <w:pPr>
        <w:spacing w:line="360" w:lineRule="auto"/>
        <w:ind w:firstLine="480" w:firstLineChars="200"/>
        <w:rPr>
          <w:rFonts w:ascii="宋体" w:hAnsi="宋体" w:cs="宋体"/>
          <w:sz w:val="24"/>
          <w:szCs w:val="24"/>
        </w:rPr>
      </w:pPr>
      <w:r>
        <w:rPr>
          <w:rFonts w:hint="eastAsia" w:ascii="宋体" w:hAnsi="宋体" w:cs="宋体"/>
          <w:sz w:val="24"/>
          <w:szCs w:val="24"/>
        </w:rPr>
        <w:t>七、未成交，本协议自动废止。</w:t>
      </w:r>
    </w:p>
    <w:p w14:paraId="5C2D0EB3">
      <w:pPr>
        <w:spacing w:line="360" w:lineRule="auto"/>
        <w:ind w:firstLine="480" w:firstLineChars="200"/>
        <w:rPr>
          <w:rFonts w:ascii="宋体" w:hAnsi="宋体" w:cs="宋体"/>
          <w:sz w:val="24"/>
          <w:szCs w:val="24"/>
        </w:rPr>
      </w:pPr>
      <w:r>
        <w:rPr>
          <w:rFonts w:hint="eastAsia" w:ascii="宋体" w:hAnsi="宋体" w:cs="宋体"/>
          <w:sz w:val="24"/>
          <w:szCs w:val="24"/>
        </w:rPr>
        <w:t>主体方：（公章）                      参加方：（公章）</w:t>
      </w:r>
    </w:p>
    <w:p w14:paraId="2E39D75D">
      <w:pPr>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                          法定代表人： </w:t>
      </w:r>
    </w:p>
    <w:p w14:paraId="33DBF4DE">
      <w:pPr>
        <w:spacing w:line="360" w:lineRule="auto"/>
        <w:ind w:firstLine="480" w:firstLineChars="200"/>
        <w:rPr>
          <w:rFonts w:ascii="宋体" w:hAnsi="宋体" w:cs="宋体"/>
          <w:sz w:val="24"/>
          <w:szCs w:val="24"/>
        </w:rPr>
      </w:pPr>
      <w:r>
        <w:rPr>
          <w:rFonts w:hint="eastAsia" w:ascii="宋体" w:hAnsi="宋体" w:cs="宋体"/>
          <w:sz w:val="24"/>
          <w:szCs w:val="24"/>
        </w:rPr>
        <w:t>地址：                                地址：</w:t>
      </w:r>
    </w:p>
    <w:p w14:paraId="0422922F">
      <w:pPr>
        <w:spacing w:line="360" w:lineRule="auto"/>
        <w:ind w:firstLine="480" w:firstLineChars="200"/>
        <w:rPr>
          <w:rFonts w:ascii="宋体" w:hAnsi="宋体" w:cs="宋体"/>
          <w:sz w:val="24"/>
          <w:szCs w:val="24"/>
        </w:rPr>
      </w:pPr>
      <w:r>
        <w:rPr>
          <w:rFonts w:hint="eastAsia" w:ascii="宋体" w:hAnsi="宋体" w:cs="宋体"/>
          <w:sz w:val="24"/>
          <w:szCs w:val="24"/>
        </w:rPr>
        <w:t>邮编：                                邮编：</w:t>
      </w:r>
    </w:p>
    <w:p w14:paraId="54C13841">
      <w:pPr>
        <w:spacing w:line="360" w:lineRule="auto"/>
        <w:ind w:firstLine="480" w:firstLineChars="200"/>
        <w:rPr>
          <w:rFonts w:ascii="宋体" w:hAnsi="宋体" w:cs="宋体"/>
          <w:sz w:val="24"/>
          <w:szCs w:val="24"/>
        </w:rPr>
      </w:pPr>
      <w:r>
        <w:rPr>
          <w:rFonts w:hint="eastAsia" w:ascii="宋体" w:hAnsi="宋体" w:cs="宋体"/>
          <w:sz w:val="24"/>
          <w:szCs w:val="24"/>
        </w:rPr>
        <w:t>电话：                                电话：</w:t>
      </w:r>
    </w:p>
    <w:p w14:paraId="291CB993">
      <w:pPr>
        <w:rPr>
          <w:rFonts w:ascii="宋体" w:hAnsi="宋体" w:cs="宋体"/>
        </w:rPr>
      </w:pPr>
    </w:p>
    <w:p w14:paraId="72B641E1">
      <w:pPr>
        <w:jc w:val="right"/>
        <w:rPr>
          <w:rFonts w:ascii="宋体" w:hAnsi="宋体" w:cs="宋体"/>
          <w:b/>
          <w:bCs/>
          <w:sz w:val="24"/>
          <w:szCs w:val="24"/>
        </w:rPr>
      </w:pPr>
    </w:p>
    <w:p w14:paraId="170D2AE5">
      <w:pPr>
        <w:jc w:val="right"/>
        <w:rPr>
          <w:rFonts w:ascii="宋体" w:hAnsi="宋体" w:cs="宋体"/>
          <w:bCs/>
          <w:sz w:val="24"/>
          <w:szCs w:val="24"/>
        </w:rPr>
      </w:pPr>
      <w:r>
        <w:rPr>
          <w:rFonts w:hint="eastAsia" w:ascii="宋体" w:hAnsi="宋体" w:cs="宋体"/>
          <w:bCs/>
          <w:sz w:val="24"/>
          <w:szCs w:val="24"/>
        </w:rPr>
        <w:t>签订日期:</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008C5072">
      <w:pPr>
        <w:rPr>
          <w:rFonts w:ascii="宋体" w:hAnsi="宋体" w:cs="宋体"/>
          <w:b/>
          <w:bCs/>
          <w:sz w:val="24"/>
          <w:szCs w:val="24"/>
        </w:rPr>
      </w:pPr>
      <w:r>
        <w:rPr>
          <w:rFonts w:hint="eastAsia" w:ascii="宋体" w:hAnsi="宋体" w:cs="宋体"/>
          <w:b/>
          <w:bCs/>
          <w:sz w:val="24"/>
          <w:szCs w:val="24"/>
        </w:rPr>
        <w:br w:type="page"/>
      </w:r>
    </w:p>
    <w:p w14:paraId="59548A3C">
      <w:pPr>
        <w:outlineLvl w:val="0"/>
        <w:rPr>
          <w:rStyle w:val="114"/>
          <w:rFonts w:hint="eastAsia" w:ascii="宋体" w:hAnsi="宋体" w:eastAsia="宋体" w:cs="宋体"/>
          <w:sz w:val="24"/>
          <w:szCs w:val="24"/>
          <w:lang w:eastAsia="zh-CN"/>
        </w:rPr>
      </w:pPr>
      <w:bookmarkStart w:id="102" w:name="_Toc3162"/>
      <w:bookmarkStart w:id="103" w:name="_Toc2238"/>
      <w:bookmarkStart w:id="104" w:name="_Toc16942"/>
      <w:r>
        <w:rPr>
          <w:rStyle w:val="114"/>
          <w:rFonts w:hint="eastAsia" w:ascii="宋体" w:hAnsi="宋体" w:eastAsia="宋体" w:cs="宋体"/>
          <w:sz w:val="24"/>
          <w:szCs w:val="24"/>
        </w:rPr>
        <w:t>附件</w:t>
      </w:r>
      <w:bookmarkEnd w:id="102"/>
      <w:bookmarkEnd w:id="103"/>
      <w:r>
        <w:rPr>
          <w:rStyle w:val="114"/>
          <w:rFonts w:hint="eastAsia" w:ascii="宋体" w:hAnsi="宋体" w:eastAsia="宋体" w:cs="宋体"/>
          <w:sz w:val="24"/>
          <w:szCs w:val="24"/>
          <w:lang w:eastAsia="zh-CN"/>
        </w:rPr>
        <w:t>九</w:t>
      </w:r>
    </w:p>
    <w:bookmarkEnd w:id="104"/>
    <w:p w14:paraId="2C959647">
      <w:pPr>
        <w:spacing w:line="360" w:lineRule="auto"/>
        <w:rPr>
          <w:rFonts w:ascii="宋体" w:hAnsi="宋体" w:cs="宋体"/>
          <w:bCs/>
          <w:sz w:val="24"/>
          <w:szCs w:val="24"/>
        </w:rPr>
      </w:pPr>
      <w:bookmarkStart w:id="105" w:name="_Toc28850"/>
    </w:p>
    <w:p w14:paraId="58121994">
      <w:pPr>
        <w:spacing w:line="360" w:lineRule="auto"/>
        <w:jc w:val="center"/>
        <w:rPr>
          <w:rFonts w:ascii="宋体" w:hAnsi="宋体" w:cs="宋体"/>
          <w:bCs/>
          <w:sz w:val="24"/>
          <w:szCs w:val="24"/>
        </w:rPr>
      </w:pPr>
      <w:r>
        <w:rPr>
          <w:rFonts w:hint="eastAsia" w:ascii="宋体" w:hAnsi="宋体" w:cs="宋体"/>
          <w:bCs/>
          <w:sz w:val="24"/>
          <w:szCs w:val="24"/>
        </w:rPr>
        <w:t>磋商文件要求和供应商认为需要提供的其它说明和资料</w:t>
      </w:r>
      <w:bookmarkEnd w:id="105"/>
    </w:p>
    <w:p w14:paraId="259DF26C">
      <w:pPr>
        <w:rPr>
          <w:rFonts w:hint="eastAsia" w:ascii="宋体" w:hAnsi="宋体" w:cs="宋体"/>
          <w:bCs/>
          <w:sz w:val="24"/>
          <w:szCs w:val="24"/>
          <w:lang w:eastAsia="zh-CN"/>
        </w:rPr>
      </w:pPr>
    </w:p>
    <w:sectPr>
      <w:headerReference r:id="rId13" w:type="default"/>
      <w:footerReference r:id="rId14" w:type="default"/>
      <w:pgSz w:w="11905" w:h="16838"/>
      <w:pgMar w:top="1117" w:right="1769" w:bottom="1230" w:left="1769" w:header="879" w:footer="981"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隶书">
    <w:altName w:val="微软雅黑"/>
    <w:panose1 w:val="02010509060101010101"/>
    <w:charset w:val="86"/>
    <w:family w:val="moder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ACCE">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4EC66">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E4EC66">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EAFD">
    <w:pPr>
      <w:spacing w:line="265" w:lineRule="exact"/>
      <w:ind w:left="4270"/>
      <w:rPr>
        <w:rFonts w:ascii="Calibri" w:hAnsi="Calibri" w:eastAsia="Calibri" w:cs="Calibri"/>
        <w:sz w:val="18"/>
        <w:szCs w:val="18"/>
      </w:rPr>
    </w:pPr>
    <w:r>
      <w:rPr>
        <w:rFonts w:ascii="Calibri" w:hAnsi="Calibri" w:eastAsia="Calibri" w:cs="Calibri"/>
        <w:spacing w:val="-8"/>
        <w:position w:val="2"/>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148F">
    <w:pPr>
      <w:pStyle w:val="2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DBAB0A">
                          <w:pPr>
                            <w:pStyle w:val="21"/>
                            <w:rPr>
                              <w:rStyle w:val="38"/>
                            </w:rPr>
                          </w:pPr>
                          <w:r>
                            <w:rPr>
                              <w:rStyle w:val="38"/>
                            </w:rPr>
                            <w:fldChar w:fldCharType="begin"/>
                          </w:r>
                          <w:r>
                            <w:rPr>
                              <w:rStyle w:val="38"/>
                            </w:rPr>
                            <w:instrText xml:space="preserve">PAGE  </w:instrText>
                          </w:r>
                          <w:r>
                            <w:rPr>
                              <w:rStyle w:val="38"/>
                            </w:rPr>
                            <w:fldChar w:fldCharType="separate"/>
                          </w:r>
                          <w:r>
                            <w:rPr>
                              <w:rStyle w:val="38"/>
                            </w:rPr>
                            <w:t>47</w:t>
                          </w:r>
                          <w:r>
                            <w:rPr>
                              <w:rStyle w:val="3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DBAB0A">
                    <w:pPr>
                      <w:pStyle w:val="21"/>
                      <w:rPr>
                        <w:rStyle w:val="38"/>
                      </w:rPr>
                    </w:pPr>
                    <w:r>
                      <w:rPr>
                        <w:rStyle w:val="38"/>
                      </w:rPr>
                      <w:fldChar w:fldCharType="begin"/>
                    </w:r>
                    <w:r>
                      <w:rPr>
                        <w:rStyle w:val="38"/>
                      </w:rPr>
                      <w:instrText xml:space="preserve">PAGE  </w:instrText>
                    </w:r>
                    <w:r>
                      <w:rPr>
                        <w:rStyle w:val="38"/>
                      </w:rPr>
                      <w:fldChar w:fldCharType="separate"/>
                    </w:r>
                    <w:r>
                      <w:rPr>
                        <w:rStyle w:val="38"/>
                      </w:rPr>
                      <w:t>47</w:t>
                    </w:r>
                    <w:r>
                      <w:rPr>
                        <w:rStyle w:val="3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BCB4D">
    <w:pPr>
      <w:spacing w:line="266" w:lineRule="exact"/>
      <w:ind w:left="4310"/>
      <w:rPr>
        <w:rFonts w:ascii="Calibri" w:hAnsi="Calibri" w:eastAsia="Calibri" w:cs="Calibri"/>
        <w:sz w:val="18"/>
        <w:szCs w:val="18"/>
      </w:rPr>
    </w:pPr>
    <w:r>
      <w:rPr>
        <w:rFonts w:ascii="Calibri" w:hAnsi="Calibri" w:eastAsia="Calibri" w:cs="Calibri"/>
        <w:position w:val="2"/>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F4C17">
    <w:pPr>
      <w:spacing w:line="265" w:lineRule="exact"/>
      <w:ind w:left="4309"/>
      <w:rPr>
        <w:rFonts w:ascii="Calibri" w:hAnsi="Calibri" w:eastAsia="Calibri" w:cs="Calibri"/>
        <w:sz w:val="18"/>
        <w:szCs w:val="18"/>
      </w:rPr>
    </w:pPr>
    <w:r>
      <w:rPr>
        <w:rFonts w:ascii="Calibri" w:hAnsi="Calibri" w:eastAsia="Calibri" w:cs="Calibri"/>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E83BD">
    <w:pPr>
      <w:spacing w:line="265" w:lineRule="exact"/>
      <w:ind w:left="4309"/>
      <w:rPr>
        <w:rFonts w:ascii="Calibri" w:hAnsi="Calibri" w:eastAsia="Calibri" w:cs="Calibri"/>
        <w:sz w:val="18"/>
        <w:szCs w:val="18"/>
      </w:rPr>
    </w:pPr>
    <w:r>
      <w:rPr>
        <w:rFonts w:ascii="Calibri" w:hAnsi="Calibri" w:eastAsia="Calibri" w:cs="Calibri"/>
        <w:position w:val="2"/>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E5409">
    <w:pPr>
      <w:spacing w:line="265" w:lineRule="exact"/>
      <w:ind w:left="4309"/>
      <w:rPr>
        <w:rFonts w:ascii="Calibri" w:hAnsi="Calibri" w:eastAsia="Calibri" w:cs="Calibri"/>
        <w:sz w:val="18"/>
        <w:szCs w:val="18"/>
      </w:rPr>
    </w:pPr>
    <w:r>
      <w:rPr>
        <w:rFonts w:ascii="Calibri" w:hAnsi="Calibri" w:eastAsia="Calibri" w:cs="Calibri"/>
        <w:position w:val="2"/>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8F304">
    <w:pPr>
      <w:spacing w:line="266" w:lineRule="exact"/>
      <w:ind w:left="4309"/>
      <w:rPr>
        <w:rFonts w:ascii="Calibri" w:hAnsi="Calibri" w:eastAsia="Calibri" w:cs="Calibri"/>
        <w:sz w:val="18"/>
        <w:szCs w:val="18"/>
      </w:rPr>
    </w:pPr>
    <w:r>
      <w:rPr>
        <w:rFonts w:ascii="Calibri" w:hAnsi="Calibri" w:eastAsia="Calibri" w:cs="Calibri"/>
        <w:position w:val="2"/>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E1569">
    <w:pPr>
      <w:spacing w:line="265" w:lineRule="exact"/>
      <w:ind w:left="4307"/>
      <w:rPr>
        <w:rFonts w:ascii="Calibri" w:hAnsi="Calibri" w:eastAsia="Calibri" w:cs="Calibri"/>
        <w:sz w:val="18"/>
        <w:szCs w:val="18"/>
      </w:rPr>
    </w:pPr>
    <w:r>
      <w:rPr>
        <w:rFonts w:ascii="Calibri" w:hAnsi="Calibri" w:eastAsia="Calibri" w:cs="Calibri"/>
        <w:position w:val="2"/>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D5461">
    <w:pPr>
      <w:spacing w:line="266" w:lineRule="exact"/>
      <w:ind w:left="4270"/>
      <w:rPr>
        <w:rFonts w:ascii="Calibri" w:hAnsi="Calibri" w:eastAsia="Calibri" w:cs="Calibri"/>
        <w:sz w:val="18"/>
        <w:szCs w:val="18"/>
      </w:rPr>
    </w:pPr>
    <w:r>
      <w:rPr>
        <w:rFonts w:ascii="Calibri" w:hAnsi="Calibri" w:eastAsia="Calibri" w:cs="Calibri"/>
        <w:spacing w:val="-8"/>
        <w:position w:val="2"/>
        <w:sz w:val="18"/>
        <w:szCs w:val="18"/>
      </w:rPr>
      <w:t>12</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019">
    <w:pPr>
      <w:spacing w:line="266" w:lineRule="exact"/>
      <w:ind w:left="4270"/>
      <w:rPr>
        <w:rFonts w:ascii="Calibri" w:hAnsi="Calibri" w:eastAsia="Calibri" w:cs="Calibri"/>
        <w:sz w:val="18"/>
        <w:szCs w:val="18"/>
      </w:rPr>
    </w:pPr>
    <w:r>
      <w:rPr>
        <w:rFonts w:ascii="Calibri" w:hAnsi="Calibri" w:eastAsia="Calibri" w:cs="Calibri"/>
        <w:spacing w:val="-8"/>
        <w:position w:val="2"/>
        <w:sz w:val="18"/>
        <w:szCs w:val="18"/>
      </w:rPr>
      <w:t>14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35CC8">
    <w:pPr>
      <w:pStyle w:val="22"/>
      <w:pBdr>
        <w:bottom w:val="single" w:color="auto" w:sz="6" w:space="0"/>
      </w:pBdr>
      <w:tabs>
        <w:tab w:val="left" w:pos="8460"/>
        <w:tab w:val="left" w:pos="9180"/>
        <w:tab w:val="clear" w:pos="4153"/>
        <w:tab w:val="clear" w:pos="8306"/>
      </w:tabs>
      <w:ind w:right="360"/>
    </w:pPr>
    <w:r>
      <w:rPr>
        <w:rFonts w:hint="eastAsia"/>
      </w:rPr>
      <w:t>六安市政府采购</w:t>
    </w:r>
    <w:r>
      <w:rPr>
        <w:rFonts w:hint="eastAsia"/>
        <w:lang w:eastAsia="zh-CN"/>
      </w:rPr>
      <w:t>磋商</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6861F"/>
    <w:multiLevelType w:val="singleLevel"/>
    <w:tmpl w:val="A936861F"/>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6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kN2MwNDMzMDczMzgzNGNmMDNjZTRmNDg1MmJlMzIifQ=="/>
  </w:docVars>
  <w:rsids>
    <w:rsidRoot w:val="002D677B"/>
    <w:rsid w:val="00003610"/>
    <w:rsid w:val="000145D1"/>
    <w:rsid w:val="00015C71"/>
    <w:rsid w:val="00042454"/>
    <w:rsid w:val="000530AC"/>
    <w:rsid w:val="00057B34"/>
    <w:rsid w:val="00066BCF"/>
    <w:rsid w:val="00076BD7"/>
    <w:rsid w:val="0007794F"/>
    <w:rsid w:val="00083A3D"/>
    <w:rsid w:val="00085013"/>
    <w:rsid w:val="0008734A"/>
    <w:rsid w:val="00091912"/>
    <w:rsid w:val="00092365"/>
    <w:rsid w:val="00095459"/>
    <w:rsid w:val="000A0CAE"/>
    <w:rsid w:val="000A3D75"/>
    <w:rsid w:val="000C5C16"/>
    <w:rsid w:val="000D784C"/>
    <w:rsid w:val="000E723B"/>
    <w:rsid w:val="0010048A"/>
    <w:rsid w:val="001252D5"/>
    <w:rsid w:val="001260B2"/>
    <w:rsid w:val="00135355"/>
    <w:rsid w:val="00146D70"/>
    <w:rsid w:val="00156254"/>
    <w:rsid w:val="001567B7"/>
    <w:rsid w:val="001713C4"/>
    <w:rsid w:val="001723C8"/>
    <w:rsid w:val="001A1410"/>
    <w:rsid w:val="001A16C1"/>
    <w:rsid w:val="001A3254"/>
    <w:rsid w:val="001B57E1"/>
    <w:rsid w:val="001C3B69"/>
    <w:rsid w:val="0021447E"/>
    <w:rsid w:val="002175D2"/>
    <w:rsid w:val="0022100F"/>
    <w:rsid w:val="00222133"/>
    <w:rsid w:val="00230806"/>
    <w:rsid w:val="00232B23"/>
    <w:rsid w:val="002372B2"/>
    <w:rsid w:val="00246E67"/>
    <w:rsid w:val="002656AE"/>
    <w:rsid w:val="00265EC6"/>
    <w:rsid w:val="002760E1"/>
    <w:rsid w:val="0028115C"/>
    <w:rsid w:val="00295D2C"/>
    <w:rsid w:val="002A5B98"/>
    <w:rsid w:val="002C3E11"/>
    <w:rsid w:val="002D508E"/>
    <w:rsid w:val="002D552F"/>
    <w:rsid w:val="002D677B"/>
    <w:rsid w:val="002E521A"/>
    <w:rsid w:val="002F5374"/>
    <w:rsid w:val="002F5CAB"/>
    <w:rsid w:val="0031378C"/>
    <w:rsid w:val="00322074"/>
    <w:rsid w:val="003342EF"/>
    <w:rsid w:val="00337492"/>
    <w:rsid w:val="00341CB0"/>
    <w:rsid w:val="003452C5"/>
    <w:rsid w:val="0035659C"/>
    <w:rsid w:val="0035777E"/>
    <w:rsid w:val="003808D6"/>
    <w:rsid w:val="00393CAC"/>
    <w:rsid w:val="003A03AB"/>
    <w:rsid w:val="003B672C"/>
    <w:rsid w:val="003E0B3C"/>
    <w:rsid w:val="003E13E7"/>
    <w:rsid w:val="003E5E17"/>
    <w:rsid w:val="003E7C3B"/>
    <w:rsid w:val="003F4073"/>
    <w:rsid w:val="003F655F"/>
    <w:rsid w:val="00402FDA"/>
    <w:rsid w:val="00424DA5"/>
    <w:rsid w:val="00434A85"/>
    <w:rsid w:val="004413B4"/>
    <w:rsid w:val="00445952"/>
    <w:rsid w:val="00453F7D"/>
    <w:rsid w:val="00463A62"/>
    <w:rsid w:val="00473633"/>
    <w:rsid w:val="004C0AD3"/>
    <w:rsid w:val="004C64FF"/>
    <w:rsid w:val="004D4771"/>
    <w:rsid w:val="004D5F5D"/>
    <w:rsid w:val="00524A87"/>
    <w:rsid w:val="00532B91"/>
    <w:rsid w:val="00533AAE"/>
    <w:rsid w:val="00536E00"/>
    <w:rsid w:val="00554CE3"/>
    <w:rsid w:val="00576983"/>
    <w:rsid w:val="0058678B"/>
    <w:rsid w:val="00587005"/>
    <w:rsid w:val="005C34E1"/>
    <w:rsid w:val="005E56CC"/>
    <w:rsid w:val="00612809"/>
    <w:rsid w:val="0062194E"/>
    <w:rsid w:val="0062376D"/>
    <w:rsid w:val="0063756A"/>
    <w:rsid w:val="00641AFF"/>
    <w:rsid w:val="00650A29"/>
    <w:rsid w:val="00654D2C"/>
    <w:rsid w:val="00661562"/>
    <w:rsid w:val="006650F6"/>
    <w:rsid w:val="0067781D"/>
    <w:rsid w:val="00685792"/>
    <w:rsid w:val="006B21E7"/>
    <w:rsid w:val="006C1B7A"/>
    <w:rsid w:val="006C30A4"/>
    <w:rsid w:val="006D3DB9"/>
    <w:rsid w:val="006F01D1"/>
    <w:rsid w:val="006F0CE4"/>
    <w:rsid w:val="006F3D3E"/>
    <w:rsid w:val="007003B4"/>
    <w:rsid w:val="00703A7D"/>
    <w:rsid w:val="00742F0D"/>
    <w:rsid w:val="00753D8A"/>
    <w:rsid w:val="00766A44"/>
    <w:rsid w:val="00767BB2"/>
    <w:rsid w:val="007838D0"/>
    <w:rsid w:val="0079235B"/>
    <w:rsid w:val="007B00FB"/>
    <w:rsid w:val="007B44EE"/>
    <w:rsid w:val="007E5141"/>
    <w:rsid w:val="007E77BF"/>
    <w:rsid w:val="007F2502"/>
    <w:rsid w:val="007F5F13"/>
    <w:rsid w:val="0080648E"/>
    <w:rsid w:val="00810784"/>
    <w:rsid w:val="008142BD"/>
    <w:rsid w:val="00821EE8"/>
    <w:rsid w:val="008377DF"/>
    <w:rsid w:val="008451EF"/>
    <w:rsid w:val="00851FA9"/>
    <w:rsid w:val="008524A2"/>
    <w:rsid w:val="00857D2A"/>
    <w:rsid w:val="0086536B"/>
    <w:rsid w:val="00885123"/>
    <w:rsid w:val="008A5C97"/>
    <w:rsid w:val="008A6D3D"/>
    <w:rsid w:val="008B0E3B"/>
    <w:rsid w:val="008C0ED2"/>
    <w:rsid w:val="008C2F6A"/>
    <w:rsid w:val="008D216E"/>
    <w:rsid w:val="008E1E10"/>
    <w:rsid w:val="008F25AF"/>
    <w:rsid w:val="008F2F04"/>
    <w:rsid w:val="00922A63"/>
    <w:rsid w:val="00924313"/>
    <w:rsid w:val="00925990"/>
    <w:rsid w:val="00940C0D"/>
    <w:rsid w:val="0094320A"/>
    <w:rsid w:val="0096145E"/>
    <w:rsid w:val="00971106"/>
    <w:rsid w:val="00975269"/>
    <w:rsid w:val="009752B8"/>
    <w:rsid w:val="0097577C"/>
    <w:rsid w:val="00977563"/>
    <w:rsid w:val="00980525"/>
    <w:rsid w:val="00990C6C"/>
    <w:rsid w:val="00997272"/>
    <w:rsid w:val="009A18E0"/>
    <w:rsid w:val="009B5EF1"/>
    <w:rsid w:val="009E2C0D"/>
    <w:rsid w:val="00A05AD9"/>
    <w:rsid w:val="00A17EB8"/>
    <w:rsid w:val="00A24491"/>
    <w:rsid w:val="00A2462A"/>
    <w:rsid w:val="00A5114C"/>
    <w:rsid w:val="00A52EA8"/>
    <w:rsid w:val="00A612D2"/>
    <w:rsid w:val="00A6271F"/>
    <w:rsid w:val="00A74097"/>
    <w:rsid w:val="00A84216"/>
    <w:rsid w:val="00A85BA0"/>
    <w:rsid w:val="00A95755"/>
    <w:rsid w:val="00A957C6"/>
    <w:rsid w:val="00A95AB2"/>
    <w:rsid w:val="00AB1E8B"/>
    <w:rsid w:val="00AB51D7"/>
    <w:rsid w:val="00AB742B"/>
    <w:rsid w:val="00AC4741"/>
    <w:rsid w:val="00B07208"/>
    <w:rsid w:val="00B1311E"/>
    <w:rsid w:val="00B238CD"/>
    <w:rsid w:val="00B27CFD"/>
    <w:rsid w:val="00B302D5"/>
    <w:rsid w:val="00B363E9"/>
    <w:rsid w:val="00B37791"/>
    <w:rsid w:val="00B57818"/>
    <w:rsid w:val="00B704C7"/>
    <w:rsid w:val="00B7157E"/>
    <w:rsid w:val="00B75600"/>
    <w:rsid w:val="00B80346"/>
    <w:rsid w:val="00BA10A8"/>
    <w:rsid w:val="00BA136D"/>
    <w:rsid w:val="00BA3764"/>
    <w:rsid w:val="00BB7605"/>
    <w:rsid w:val="00BD684B"/>
    <w:rsid w:val="00BE0862"/>
    <w:rsid w:val="00BE281B"/>
    <w:rsid w:val="00C179DF"/>
    <w:rsid w:val="00C34566"/>
    <w:rsid w:val="00C35B5F"/>
    <w:rsid w:val="00C5087F"/>
    <w:rsid w:val="00C734AB"/>
    <w:rsid w:val="00C84AAC"/>
    <w:rsid w:val="00C8517A"/>
    <w:rsid w:val="00C97CD9"/>
    <w:rsid w:val="00CA32AE"/>
    <w:rsid w:val="00CA60CE"/>
    <w:rsid w:val="00CB7607"/>
    <w:rsid w:val="00CE1386"/>
    <w:rsid w:val="00CE28E9"/>
    <w:rsid w:val="00CF10C1"/>
    <w:rsid w:val="00CF3743"/>
    <w:rsid w:val="00D027C9"/>
    <w:rsid w:val="00D13AEE"/>
    <w:rsid w:val="00D16453"/>
    <w:rsid w:val="00D175FB"/>
    <w:rsid w:val="00D33ECF"/>
    <w:rsid w:val="00D6083A"/>
    <w:rsid w:val="00D70AF0"/>
    <w:rsid w:val="00DA3B7D"/>
    <w:rsid w:val="00DB16A6"/>
    <w:rsid w:val="00DD2C6C"/>
    <w:rsid w:val="00DE1600"/>
    <w:rsid w:val="00DE18CD"/>
    <w:rsid w:val="00DE73F9"/>
    <w:rsid w:val="00DF6F18"/>
    <w:rsid w:val="00E13FF9"/>
    <w:rsid w:val="00E20914"/>
    <w:rsid w:val="00E22452"/>
    <w:rsid w:val="00E22A4C"/>
    <w:rsid w:val="00E332F5"/>
    <w:rsid w:val="00E36567"/>
    <w:rsid w:val="00E4159F"/>
    <w:rsid w:val="00E71CC0"/>
    <w:rsid w:val="00E72CF4"/>
    <w:rsid w:val="00E752C9"/>
    <w:rsid w:val="00E76A3F"/>
    <w:rsid w:val="00E87871"/>
    <w:rsid w:val="00E912B4"/>
    <w:rsid w:val="00EA33CF"/>
    <w:rsid w:val="00EE4358"/>
    <w:rsid w:val="00EE5630"/>
    <w:rsid w:val="00EF2195"/>
    <w:rsid w:val="00EF3C5F"/>
    <w:rsid w:val="00F22829"/>
    <w:rsid w:val="00F251CD"/>
    <w:rsid w:val="00F267E8"/>
    <w:rsid w:val="00F40445"/>
    <w:rsid w:val="00F464A7"/>
    <w:rsid w:val="00F564DA"/>
    <w:rsid w:val="00F64830"/>
    <w:rsid w:val="00F74BC0"/>
    <w:rsid w:val="00F90A8E"/>
    <w:rsid w:val="00F91C4B"/>
    <w:rsid w:val="00FA1EEE"/>
    <w:rsid w:val="00FA35DA"/>
    <w:rsid w:val="00FB552D"/>
    <w:rsid w:val="00FC1D08"/>
    <w:rsid w:val="00FD5535"/>
    <w:rsid w:val="00FF1C7C"/>
    <w:rsid w:val="00FF2E49"/>
    <w:rsid w:val="011E1FE4"/>
    <w:rsid w:val="017E1B19"/>
    <w:rsid w:val="01D24B5F"/>
    <w:rsid w:val="01ED3B47"/>
    <w:rsid w:val="02976DC4"/>
    <w:rsid w:val="029D49E4"/>
    <w:rsid w:val="03062E20"/>
    <w:rsid w:val="03B22505"/>
    <w:rsid w:val="04067181"/>
    <w:rsid w:val="04115155"/>
    <w:rsid w:val="04C937C1"/>
    <w:rsid w:val="04EE7346"/>
    <w:rsid w:val="05045387"/>
    <w:rsid w:val="05104E6D"/>
    <w:rsid w:val="05532506"/>
    <w:rsid w:val="05ED76CD"/>
    <w:rsid w:val="06262FF6"/>
    <w:rsid w:val="07267565"/>
    <w:rsid w:val="072E7791"/>
    <w:rsid w:val="073C750A"/>
    <w:rsid w:val="078B22FB"/>
    <w:rsid w:val="078C18B4"/>
    <w:rsid w:val="07A20F5E"/>
    <w:rsid w:val="095F7F4C"/>
    <w:rsid w:val="0960613F"/>
    <w:rsid w:val="09A60123"/>
    <w:rsid w:val="09AE75F4"/>
    <w:rsid w:val="09B95F2A"/>
    <w:rsid w:val="0A0C7574"/>
    <w:rsid w:val="0A424E4D"/>
    <w:rsid w:val="0A585AE8"/>
    <w:rsid w:val="0A7B504D"/>
    <w:rsid w:val="0A9E2AC2"/>
    <w:rsid w:val="0AF82AC1"/>
    <w:rsid w:val="0B347EC4"/>
    <w:rsid w:val="0B566877"/>
    <w:rsid w:val="0B66533A"/>
    <w:rsid w:val="0B84414D"/>
    <w:rsid w:val="0BD46BAD"/>
    <w:rsid w:val="0BE120B2"/>
    <w:rsid w:val="0CEC43CA"/>
    <w:rsid w:val="0CFF1A10"/>
    <w:rsid w:val="0D50431A"/>
    <w:rsid w:val="0DC93B08"/>
    <w:rsid w:val="0DF624E0"/>
    <w:rsid w:val="0E346850"/>
    <w:rsid w:val="0E404088"/>
    <w:rsid w:val="0EA113FA"/>
    <w:rsid w:val="0ECA11CC"/>
    <w:rsid w:val="0EEB72F3"/>
    <w:rsid w:val="0F390E8E"/>
    <w:rsid w:val="0F6F3753"/>
    <w:rsid w:val="0F8F57EF"/>
    <w:rsid w:val="0FF97625"/>
    <w:rsid w:val="1018304A"/>
    <w:rsid w:val="10330C6E"/>
    <w:rsid w:val="1088470E"/>
    <w:rsid w:val="110475FD"/>
    <w:rsid w:val="118A0BEC"/>
    <w:rsid w:val="119066D9"/>
    <w:rsid w:val="119B64C3"/>
    <w:rsid w:val="11A335B5"/>
    <w:rsid w:val="11BB237E"/>
    <w:rsid w:val="1219428E"/>
    <w:rsid w:val="12C21660"/>
    <w:rsid w:val="13490C7D"/>
    <w:rsid w:val="135C3D02"/>
    <w:rsid w:val="14E27C21"/>
    <w:rsid w:val="153B2049"/>
    <w:rsid w:val="15614DA8"/>
    <w:rsid w:val="15AD79BC"/>
    <w:rsid w:val="16066864"/>
    <w:rsid w:val="16991EF7"/>
    <w:rsid w:val="171A37D9"/>
    <w:rsid w:val="173850A7"/>
    <w:rsid w:val="174C0AC9"/>
    <w:rsid w:val="177B4CDC"/>
    <w:rsid w:val="17BA7FA6"/>
    <w:rsid w:val="17F627DF"/>
    <w:rsid w:val="18386437"/>
    <w:rsid w:val="192B2CC7"/>
    <w:rsid w:val="198B1495"/>
    <w:rsid w:val="19AE61A3"/>
    <w:rsid w:val="19FC080E"/>
    <w:rsid w:val="1A136079"/>
    <w:rsid w:val="1A6C248D"/>
    <w:rsid w:val="1AB559FF"/>
    <w:rsid w:val="1AF45622"/>
    <w:rsid w:val="1B0D432A"/>
    <w:rsid w:val="1B5A7D5C"/>
    <w:rsid w:val="1B7B26E1"/>
    <w:rsid w:val="1C1A0C17"/>
    <w:rsid w:val="1C32741A"/>
    <w:rsid w:val="1C405AE5"/>
    <w:rsid w:val="1CAC4638"/>
    <w:rsid w:val="1D280882"/>
    <w:rsid w:val="1D960483"/>
    <w:rsid w:val="1DA376A1"/>
    <w:rsid w:val="1DDF428F"/>
    <w:rsid w:val="1DF15284"/>
    <w:rsid w:val="1E063B05"/>
    <w:rsid w:val="1F171CFB"/>
    <w:rsid w:val="1F205053"/>
    <w:rsid w:val="1F3C13B6"/>
    <w:rsid w:val="1F4B49D6"/>
    <w:rsid w:val="1FF85069"/>
    <w:rsid w:val="20AE7D24"/>
    <w:rsid w:val="20F41885"/>
    <w:rsid w:val="21893052"/>
    <w:rsid w:val="21993B18"/>
    <w:rsid w:val="22464B8D"/>
    <w:rsid w:val="228F2F97"/>
    <w:rsid w:val="229A201B"/>
    <w:rsid w:val="22D66AE1"/>
    <w:rsid w:val="23953F30"/>
    <w:rsid w:val="239974D6"/>
    <w:rsid w:val="23E266D0"/>
    <w:rsid w:val="23E4618A"/>
    <w:rsid w:val="241C2900"/>
    <w:rsid w:val="244E3D8C"/>
    <w:rsid w:val="246001CD"/>
    <w:rsid w:val="24B335CE"/>
    <w:rsid w:val="257744EB"/>
    <w:rsid w:val="25EF0E4B"/>
    <w:rsid w:val="269C26E3"/>
    <w:rsid w:val="27000148"/>
    <w:rsid w:val="272E2D63"/>
    <w:rsid w:val="273C655E"/>
    <w:rsid w:val="27410CB9"/>
    <w:rsid w:val="276D441A"/>
    <w:rsid w:val="27F74FD8"/>
    <w:rsid w:val="2861396F"/>
    <w:rsid w:val="28B44010"/>
    <w:rsid w:val="28D108CD"/>
    <w:rsid w:val="292450D2"/>
    <w:rsid w:val="29384EA8"/>
    <w:rsid w:val="29BE7C8E"/>
    <w:rsid w:val="29E26463"/>
    <w:rsid w:val="2A07065D"/>
    <w:rsid w:val="2A0A08C3"/>
    <w:rsid w:val="2A534564"/>
    <w:rsid w:val="2A573A70"/>
    <w:rsid w:val="2CBD48CE"/>
    <w:rsid w:val="2CE211B2"/>
    <w:rsid w:val="2DA511FF"/>
    <w:rsid w:val="2DEC6E42"/>
    <w:rsid w:val="2E015B36"/>
    <w:rsid w:val="2E275F81"/>
    <w:rsid w:val="2E4E51C2"/>
    <w:rsid w:val="2E77681E"/>
    <w:rsid w:val="2EE30E56"/>
    <w:rsid w:val="2F4B2B19"/>
    <w:rsid w:val="2F6246CC"/>
    <w:rsid w:val="2F8A6163"/>
    <w:rsid w:val="2FA628D8"/>
    <w:rsid w:val="2FC20327"/>
    <w:rsid w:val="2FC53683"/>
    <w:rsid w:val="2FE97A5F"/>
    <w:rsid w:val="305A47DE"/>
    <w:rsid w:val="309E348C"/>
    <w:rsid w:val="31394322"/>
    <w:rsid w:val="3184082E"/>
    <w:rsid w:val="3189283E"/>
    <w:rsid w:val="31FEBFA9"/>
    <w:rsid w:val="32617B06"/>
    <w:rsid w:val="328304A8"/>
    <w:rsid w:val="32BC5F4D"/>
    <w:rsid w:val="339A2FE4"/>
    <w:rsid w:val="33E234ED"/>
    <w:rsid w:val="33FE364D"/>
    <w:rsid w:val="34175EE4"/>
    <w:rsid w:val="3429115A"/>
    <w:rsid w:val="34F2580B"/>
    <w:rsid w:val="35A32FBE"/>
    <w:rsid w:val="36024564"/>
    <w:rsid w:val="36276335"/>
    <w:rsid w:val="362B51D9"/>
    <w:rsid w:val="36981B5D"/>
    <w:rsid w:val="36A9634B"/>
    <w:rsid w:val="36D079C8"/>
    <w:rsid w:val="371711E7"/>
    <w:rsid w:val="377FB79C"/>
    <w:rsid w:val="37D716E7"/>
    <w:rsid w:val="389600D3"/>
    <w:rsid w:val="38CB4EC2"/>
    <w:rsid w:val="38F05FC6"/>
    <w:rsid w:val="39440ED9"/>
    <w:rsid w:val="39C36AC9"/>
    <w:rsid w:val="3A8F3EBA"/>
    <w:rsid w:val="3AB10259"/>
    <w:rsid w:val="3ABA6222"/>
    <w:rsid w:val="3B301F44"/>
    <w:rsid w:val="3B726838"/>
    <w:rsid w:val="3BAE4829"/>
    <w:rsid w:val="3BC31DD8"/>
    <w:rsid w:val="3BDF73C5"/>
    <w:rsid w:val="3CDFFECA"/>
    <w:rsid w:val="3CF37919"/>
    <w:rsid w:val="3D902D22"/>
    <w:rsid w:val="3DA82DB4"/>
    <w:rsid w:val="3DF4021A"/>
    <w:rsid w:val="3E047963"/>
    <w:rsid w:val="3E6B3DB3"/>
    <w:rsid w:val="3E8E5BBA"/>
    <w:rsid w:val="3EDC10FF"/>
    <w:rsid w:val="3F0A5E23"/>
    <w:rsid w:val="3F6C0832"/>
    <w:rsid w:val="402E1B38"/>
    <w:rsid w:val="405A4873"/>
    <w:rsid w:val="407B3EBF"/>
    <w:rsid w:val="40DF693D"/>
    <w:rsid w:val="40F16A8E"/>
    <w:rsid w:val="41051E82"/>
    <w:rsid w:val="412545BE"/>
    <w:rsid w:val="413B7F4C"/>
    <w:rsid w:val="414328F9"/>
    <w:rsid w:val="4184340D"/>
    <w:rsid w:val="41E21275"/>
    <w:rsid w:val="429B3BEF"/>
    <w:rsid w:val="42F6152E"/>
    <w:rsid w:val="42FF6CFF"/>
    <w:rsid w:val="43771108"/>
    <w:rsid w:val="438C4E1A"/>
    <w:rsid w:val="446523D2"/>
    <w:rsid w:val="44DA0696"/>
    <w:rsid w:val="44E45943"/>
    <w:rsid w:val="44EF6BA2"/>
    <w:rsid w:val="4583380E"/>
    <w:rsid w:val="45993146"/>
    <w:rsid w:val="45E87E70"/>
    <w:rsid w:val="45EB3538"/>
    <w:rsid w:val="46440499"/>
    <w:rsid w:val="46771AC0"/>
    <w:rsid w:val="468204C7"/>
    <w:rsid w:val="47867C8A"/>
    <w:rsid w:val="479B001B"/>
    <w:rsid w:val="47D21CE6"/>
    <w:rsid w:val="48247721"/>
    <w:rsid w:val="48876507"/>
    <w:rsid w:val="48A14890"/>
    <w:rsid w:val="48BD0CBA"/>
    <w:rsid w:val="48FE3012"/>
    <w:rsid w:val="497903B5"/>
    <w:rsid w:val="497D6B4B"/>
    <w:rsid w:val="4A3A5740"/>
    <w:rsid w:val="4A444898"/>
    <w:rsid w:val="4A4C0CEF"/>
    <w:rsid w:val="4A67403B"/>
    <w:rsid w:val="4A734E79"/>
    <w:rsid w:val="4AD27698"/>
    <w:rsid w:val="4B090E3B"/>
    <w:rsid w:val="4B1B114F"/>
    <w:rsid w:val="4B250368"/>
    <w:rsid w:val="4B7F6C9B"/>
    <w:rsid w:val="4B80477F"/>
    <w:rsid w:val="4B8D35BB"/>
    <w:rsid w:val="4BB01238"/>
    <w:rsid w:val="4C040D9E"/>
    <w:rsid w:val="4C2F1AF1"/>
    <w:rsid w:val="4C3F1A69"/>
    <w:rsid w:val="4C4C7D4D"/>
    <w:rsid w:val="4C692E82"/>
    <w:rsid w:val="4C6C5C1C"/>
    <w:rsid w:val="4CA7336B"/>
    <w:rsid w:val="4D001539"/>
    <w:rsid w:val="4D060FF1"/>
    <w:rsid w:val="4D714797"/>
    <w:rsid w:val="4D9F0EEA"/>
    <w:rsid w:val="4F095D32"/>
    <w:rsid w:val="4F1A4882"/>
    <w:rsid w:val="4F3C4DEC"/>
    <w:rsid w:val="504900D3"/>
    <w:rsid w:val="50AA076B"/>
    <w:rsid w:val="52336686"/>
    <w:rsid w:val="524D365C"/>
    <w:rsid w:val="52892F5B"/>
    <w:rsid w:val="52A21143"/>
    <w:rsid w:val="52F61709"/>
    <w:rsid w:val="53F046E7"/>
    <w:rsid w:val="53F701D3"/>
    <w:rsid w:val="54073585"/>
    <w:rsid w:val="545310AB"/>
    <w:rsid w:val="54782FFB"/>
    <w:rsid w:val="547F7A92"/>
    <w:rsid w:val="54B57763"/>
    <w:rsid w:val="54DB7C79"/>
    <w:rsid w:val="54E74E26"/>
    <w:rsid w:val="55096C1E"/>
    <w:rsid w:val="55580A4D"/>
    <w:rsid w:val="55B45B96"/>
    <w:rsid w:val="55DA38A0"/>
    <w:rsid w:val="55DC1770"/>
    <w:rsid w:val="55EB22AC"/>
    <w:rsid w:val="561133F2"/>
    <w:rsid w:val="56571FFA"/>
    <w:rsid w:val="566C3557"/>
    <w:rsid w:val="56A92CC7"/>
    <w:rsid w:val="57C85F13"/>
    <w:rsid w:val="583244D3"/>
    <w:rsid w:val="58BD10F2"/>
    <w:rsid w:val="58CD33C2"/>
    <w:rsid w:val="596469D4"/>
    <w:rsid w:val="5A435D8A"/>
    <w:rsid w:val="5ABF7B48"/>
    <w:rsid w:val="5BBC1D09"/>
    <w:rsid w:val="5C34380B"/>
    <w:rsid w:val="5E28701C"/>
    <w:rsid w:val="5E2F0501"/>
    <w:rsid w:val="5E572216"/>
    <w:rsid w:val="5E7E040C"/>
    <w:rsid w:val="5F281AB8"/>
    <w:rsid w:val="5F912AC4"/>
    <w:rsid w:val="5FCC7BD4"/>
    <w:rsid w:val="5FD14724"/>
    <w:rsid w:val="5FD50C35"/>
    <w:rsid w:val="601B0984"/>
    <w:rsid w:val="6063052F"/>
    <w:rsid w:val="60700F30"/>
    <w:rsid w:val="607B7DDA"/>
    <w:rsid w:val="611F5A7B"/>
    <w:rsid w:val="61A70F0F"/>
    <w:rsid w:val="61A76748"/>
    <w:rsid w:val="6295188E"/>
    <w:rsid w:val="62B731FE"/>
    <w:rsid w:val="63023C80"/>
    <w:rsid w:val="635C4A37"/>
    <w:rsid w:val="636D3AA1"/>
    <w:rsid w:val="64375D75"/>
    <w:rsid w:val="64F22548"/>
    <w:rsid w:val="64FF32AE"/>
    <w:rsid w:val="659106E2"/>
    <w:rsid w:val="65AB236D"/>
    <w:rsid w:val="65B8080F"/>
    <w:rsid w:val="66453BD3"/>
    <w:rsid w:val="66483EC5"/>
    <w:rsid w:val="66704DB4"/>
    <w:rsid w:val="67102453"/>
    <w:rsid w:val="68A67F29"/>
    <w:rsid w:val="68A85138"/>
    <w:rsid w:val="68AF4719"/>
    <w:rsid w:val="68C15CCA"/>
    <w:rsid w:val="68D450F8"/>
    <w:rsid w:val="697D619C"/>
    <w:rsid w:val="69EE3D79"/>
    <w:rsid w:val="6A0E091D"/>
    <w:rsid w:val="6ABA50AD"/>
    <w:rsid w:val="6B58725B"/>
    <w:rsid w:val="6BA94127"/>
    <w:rsid w:val="6BE029AF"/>
    <w:rsid w:val="6BFE46EA"/>
    <w:rsid w:val="6C7F53F2"/>
    <w:rsid w:val="6C8B20CC"/>
    <w:rsid w:val="6E484571"/>
    <w:rsid w:val="6EF418EA"/>
    <w:rsid w:val="6F433E0D"/>
    <w:rsid w:val="6F447A17"/>
    <w:rsid w:val="6FF77ECA"/>
    <w:rsid w:val="704217E5"/>
    <w:rsid w:val="7060279C"/>
    <w:rsid w:val="70E64A50"/>
    <w:rsid w:val="71020119"/>
    <w:rsid w:val="71152000"/>
    <w:rsid w:val="721756F7"/>
    <w:rsid w:val="7231680E"/>
    <w:rsid w:val="726E602B"/>
    <w:rsid w:val="729D3834"/>
    <w:rsid w:val="72A9188A"/>
    <w:rsid w:val="72AC1CC9"/>
    <w:rsid w:val="73C15C12"/>
    <w:rsid w:val="73D531DE"/>
    <w:rsid w:val="74327FA3"/>
    <w:rsid w:val="74F750D9"/>
    <w:rsid w:val="754972D6"/>
    <w:rsid w:val="76185133"/>
    <w:rsid w:val="767A50EB"/>
    <w:rsid w:val="76B21779"/>
    <w:rsid w:val="76ED37EF"/>
    <w:rsid w:val="770F21D1"/>
    <w:rsid w:val="78A7019A"/>
    <w:rsid w:val="79BA3B0E"/>
    <w:rsid w:val="7A747570"/>
    <w:rsid w:val="7AA15F10"/>
    <w:rsid w:val="7ABB6962"/>
    <w:rsid w:val="7AF4539C"/>
    <w:rsid w:val="7BFEEA97"/>
    <w:rsid w:val="7C013D85"/>
    <w:rsid w:val="7C662C4B"/>
    <w:rsid w:val="7C7FB7F5"/>
    <w:rsid w:val="7D090CF7"/>
    <w:rsid w:val="7D578562"/>
    <w:rsid w:val="7DB40A20"/>
    <w:rsid w:val="7E136A50"/>
    <w:rsid w:val="7E49765A"/>
    <w:rsid w:val="7E4C0FEB"/>
    <w:rsid w:val="7EBE0C5A"/>
    <w:rsid w:val="7EFB3C47"/>
    <w:rsid w:val="7EFEFCA7"/>
    <w:rsid w:val="7F5342F2"/>
    <w:rsid w:val="7F850ECB"/>
    <w:rsid w:val="7FDC9BAD"/>
    <w:rsid w:val="7FEB08DE"/>
    <w:rsid w:val="7FF612D8"/>
    <w:rsid w:val="7FFA2D7F"/>
    <w:rsid w:val="7FFF732D"/>
    <w:rsid w:val="A7CD56A4"/>
    <w:rsid w:val="ABEF9526"/>
    <w:rsid w:val="BDDB0743"/>
    <w:rsid w:val="D6EF1DA6"/>
    <w:rsid w:val="DBBA10AF"/>
    <w:rsid w:val="DFFF433A"/>
    <w:rsid w:val="E7EFE23A"/>
    <w:rsid w:val="F7FF537B"/>
    <w:rsid w:val="FD7D6AD1"/>
    <w:rsid w:val="FFB9538B"/>
    <w:rsid w:val="FFDBE0E6"/>
    <w:rsid w:val="FFF8FDA8"/>
    <w:rsid w:val="FFFDE3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3"/>
    <w:qFormat/>
    <w:uiPriority w:val="0"/>
    <w:pPr>
      <w:keepNext/>
      <w:outlineLvl w:val="0"/>
    </w:pPr>
    <w:rPr>
      <w:sz w:val="28"/>
      <w:szCs w:val="24"/>
    </w:rPr>
  </w:style>
  <w:style w:type="paragraph" w:styleId="5">
    <w:name w:val="heading 2"/>
    <w:basedOn w:val="1"/>
    <w:next w:val="1"/>
    <w:link w:val="114"/>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link w:val="55"/>
    <w:qFormat/>
    <w:uiPriority w:val="0"/>
    <w:pPr>
      <w:keepNext/>
      <w:keepLines/>
      <w:spacing w:before="260" w:after="260" w:line="416" w:lineRule="auto"/>
      <w:outlineLvl w:val="2"/>
    </w:pPr>
    <w:rPr>
      <w:b/>
      <w:bCs/>
      <w:sz w:val="32"/>
      <w:szCs w:val="32"/>
      <w:lang w:val="zh-CN"/>
    </w:rPr>
  </w:style>
  <w:style w:type="paragraph" w:styleId="7">
    <w:name w:val="heading 4"/>
    <w:basedOn w:val="1"/>
    <w:next w:val="1"/>
    <w:link w:val="56"/>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400" w:lineRule="atLeast"/>
      <w:ind w:firstLine="426"/>
    </w:pPr>
    <w:rPr>
      <w:sz w:val="24"/>
      <w:szCs w:val="20"/>
    </w:rPr>
  </w:style>
  <w:style w:type="paragraph" w:styleId="3">
    <w:name w:val="Body Text"/>
    <w:basedOn w:val="1"/>
    <w:link w:val="69"/>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link w:val="80"/>
    <w:qFormat/>
    <w:uiPriority w:val="0"/>
    <w:pPr>
      <w:shd w:val="clear" w:color="auto" w:fill="000080"/>
    </w:pPr>
  </w:style>
  <w:style w:type="paragraph" w:styleId="10">
    <w:name w:val="annotation text"/>
    <w:basedOn w:val="1"/>
    <w:link w:val="74"/>
    <w:semiHidden/>
    <w:qFormat/>
    <w:uiPriority w:val="99"/>
    <w:pPr>
      <w:jc w:val="left"/>
    </w:pPr>
  </w:style>
  <w:style w:type="paragraph" w:styleId="11">
    <w:name w:val="Body Text 3"/>
    <w:basedOn w:val="1"/>
    <w:link w:val="95"/>
    <w:unhideWhenUsed/>
    <w:qFormat/>
    <w:uiPriority w:val="99"/>
    <w:pPr>
      <w:spacing w:after="120"/>
    </w:pPr>
    <w:rPr>
      <w:rFonts w:ascii="Calibri" w:hAnsi="Calibri"/>
      <w:sz w:val="16"/>
      <w:szCs w:val="16"/>
      <w:lang w:val="zh-CN"/>
    </w:rPr>
  </w:style>
  <w:style w:type="paragraph" w:styleId="12">
    <w:name w:val="Body Text Indent"/>
    <w:basedOn w:val="1"/>
    <w:next w:val="13"/>
    <w:link w:val="58"/>
    <w:qFormat/>
    <w:uiPriority w:val="0"/>
    <w:pPr>
      <w:ind w:firstLine="540"/>
    </w:pPr>
    <w:rPr>
      <w:rFonts w:eastAsia="仿宋_GB2312"/>
      <w:sz w:val="28"/>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0"/>
    <w:pPr>
      <w:ind w:left="1680" w:leftChars="800"/>
    </w:pPr>
  </w:style>
  <w:style w:type="paragraph" w:styleId="15">
    <w:name w:val="toc 3"/>
    <w:basedOn w:val="1"/>
    <w:next w:val="1"/>
    <w:qFormat/>
    <w:uiPriority w:val="39"/>
    <w:pPr>
      <w:ind w:left="840" w:leftChars="400"/>
    </w:pPr>
  </w:style>
  <w:style w:type="paragraph" w:styleId="16">
    <w:name w:val="Plain Text"/>
    <w:basedOn w:val="1"/>
    <w:link w:val="77"/>
    <w:qFormat/>
    <w:uiPriority w:val="0"/>
    <w:rPr>
      <w:rFonts w:ascii="宋体" w:hAnsi="Courier New" w:cstheme="minorBidi"/>
      <w:szCs w:val="22"/>
    </w:rPr>
  </w:style>
  <w:style w:type="paragraph" w:styleId="17">
    <w:name w:val="toc 8"/>
    <w:basedOn w:val="1"/>
    <w:next w:val="1"/>
    <w:qFormat/>
    <w:uiPriority w:val="0"/>
    <w:pPr>
      <w:ind w:left="2940" w:leftChars="1400"/>
    </w:pPr>
  </w:style>
  <w:style w:type="paragraph" w:styleId="18">
    <w:name w:val="Date"/>
    <w:basedOn w:val="1"/>
    <w:next w:val="1"/>
    <w:link w:val="57"/>
    <w:qFormat/>
    <w:uiPriority w:val="0"/>
    <w:rPr>
      <w:rFonts w:ascii="Arial" w:hAnsi="Arial" w:eastAsia="楷体_GB2312"/>
      <w:sz w:val="28"/>
    </w:rPr>
  </w:style>
  <w:style w:type="paragraph" w:styleId="19">
    <w:name w:val="Body Text Indent 2"/>
    <w:basedOn w:val="1"/>
    <w:link w:val="60"/>
    <w:qFormat/>
    <w:uiPriority w:val="0"/>
    <w:pPr>
      <w:tabs>
        <w:tab w:val="left" w:pos="720"/>
      </w:tabs>
      <w:ind w:right="-506" w:rightChars="-241" w:firstLine="538" w:firstLineChars="192"/>
    </w:pPr>
    <w:rPr>
      <w:rFonts w:eastAsia="仿宋_GB2312"/>
      <w:sz w:val="28"/>
    </w:rPr>
  </w:style>
  <w:style w:type="paragraph" w:styleId="20">
    <w:name w:val="Balloon Text"/>
    <w:basedOn w:val="1"/>
    <w:link w:val="71"/>
    <w:qFormat/>
    <w:uiPriority w:val="0"/>
    <w:rPr>
      <w:sz w:val="18"/>
      <w:szCs w:val="18"/>
    </w:rPr>
  </w:style>
  <w:style w:type="paragraph" w:styleId="21">
    <w:name w:val="footer"/>
    <w:basedOn w:val="1"/>
    <w:link w:val="52"/>
    <w:unhideWhenUsed/>
    <w:qFormat/>
    <w:uiPriority w:val="99"/>
    <w:pPr>
      <w:tabs>
        <w:tab w:val="center" w:pos="4153"/>
        <w:tab w:val="right" w:pos="8306"/>
      </w:tabs>
      <w:snapToGrid w:val="0"/>
      <w:jc w:val="left"/>
    </w:pPr>
    <w:rPr>
      <w:sz w:val="18"/>
      <w:szCs w:val="18"/>
    </w:rPr>
  </w:style>
  <w:style w:type="paragraph" w:styleId="22">
    <w:name w:val="header"/>
    <w:basedOn w:val="1"/>
    <w:link w:val="5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toc 4"/>
    <w:basedOn w:val="1"/>
    <w:next w:val="1"/>
    <w:qFormat/>
    <w:uiPriority w:val="0"/>
    <w:pPr>
      <w:ind w:left="1260" w:leftChars="600"/>
    </w:pPr>
  </w:style>
  <w:style w:type="paragraph" w:styleId="25">
    <w:name w:val="toc 6"/>
    <w:basedOn w:val="1"/>
    <w:next w:val="1"/>
    <w:qFormat/>
    <w:uiPriority w:val="0"/>
    <w:pPr>
      <w:ind w:left="2100" w:leftChars="1000"/>
    </w:pPr>
  </w:style>
  <w:style w:type="paragraph" w:styleId="26">
    <w:name w:val="Body Text Indent 3"/>
    <w:basedOn w:val="1"/>
    <w:link w:val="66"/>
    <w:qFormat/>
    <w:uiPriority w:val="0"/>
    <w:pPr>
      <w:ind w:left="178" w:leftChars="85" w:firstLine="560" w:firstLineChars="200"/>
    </w:pPr>
    <w:rPr>
      <w:rFonts w:ascii="仿宋_GB2312" w:hAnsi="Arial" w:eastAsia="仿宋_GB2312"/>
      <w:sz w:val="28"/>
      <w:szCs w:val="24"/>
    </w:rPr>
  </w:style>
  <w:style w:type="paragraph" w:styleId="27">
    <w:name w:val="toc 2"/>
    <w:basedOn w:val="1"/>
    <w:next w:val="1"/>
    <w:qFormat/>
    <w:uiPriority w:val="39"/>
    <w:pPr>
      <w:ind w:left="420" w:leftChars="200"/>
    </w:pPr>
  </w:style>
  <w:style w:type="paragraph" w:styleId="28">
    <w:name w:val="toc 9"/>
    <w:basedOn w:val="1"/>
    <w:next w:val="1"/>
    <w:qFormat/>
    <w:uiPriority w:val="0"/>
    <w:pPr>
      <w:ind w:left="3360" w:leftChars="1600"/>
    </w:pPr>
  </w:style>
  <w:style w:type="paragraph" w:styleId="2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0">
    <w:name w:val="Normal (Web)"/>
    <w:basedOn w:val="1"/>
    <w:unhideWhenUsed/>
    <w:qFormat/>
    <w:uiPriority w:val="99"/>
    <w:pPr>
      <w:jc w:val="left"/>
    </w:pPr>
    <w:rPr>
      <w:kern w:val="0"/>
      <w:sz w:val="24"/>
    </w:rPr>
  </w:style>
  <w:style w:type="paragraph" w:styleId="31">
    <w:name w:val="index 1"/>
    <w:basedOn w:val="1"/>
    <w:next w:val="1"/>
    <w:semiHidden/>
    <w:qFormat/>
    <w:uiPriority w:val="0"/>
    <w:pPr>
      <w:jc w:val="center"/>
    </w:pPr>
    <w:rPr>
      <w:rFonts w:ascii="仿宋_GB2312" w:eastAsia="仿宋_GB2312"/>
      <w:b/>
      <w:bCs/>
      <w:sz w:val="28"/>
    </w:rPr>
  </w:style>
  <w:style w:type="paragraph" w:styleId="32">
    <w:name w:val="annotation subject"/>
    <w:basedOn w:val="10"/>
    <w:next w:val="10"/>
    <w:link w:val="75"/>
    <w:semiHidden/>
    <w:qFormat/>
    <w:uiPriority w:val="99"/>
    <w:rPr>
      <w:b/>
      <w:bCs/>
    </w:rPr>
  </w:style>
  <w:style w:type="paragraph" w:styleId="33">
    <w:name w:val="Body Text First Indent 2"/>
    <w:basedOn w:val="12"/>
    <w:next w:val="1"/>
    <w:unhideWhenUsed/>
    <w:qFormat/>
    <w:uiPriority w:val="99"/>
    <w:pPr>
      <w:ind w:firstLine="420" w:firstLineChars="200"/>
    </w:pPr>
    <w:rPr>
      <w:rFonts w:ascii="Calibri" w:hAnsi="Calibri"/>
    </w:rPr>
  </w:style>
  <w:style w:type="table" w:styleId="35">
    <w:name w:val="Table Grid"/>
    <w:basedOn w:val="3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qFormat/>
    <w:uiPriority w:val="0"/>
    <w:rPr>
      <w:b/>
    </w:rPr>
  </w:style>
  <w:style w:type="character" w:styleId="38">
    <w:name w:val="page number"/>
    <w:basedOn w:val="36"/>
    <w:qFormat/>
    <w:uiPriority w:val="0"/>
  </w:style>
  <w:style w:type="character" w:styleId="39">
    <w:name w:val="FollowedHyperlink"/>
    <w:basedOn w:val="36"/>
    <w:unhideWhenUsed/>
    <w:qFormat/>
    <w:uiPriority w:val="99"/>
    <w:rPr>
      <w:color w:val="954F72" w:themeColor="followedHyperlink"/>
      <w:u w:val="single"/>
      <w14:textFill>
        <w14:solidFill>
          <w14:schemeClr w14:val="folHlink"/>
        </w14:solidFill>
      </w14:textFill>
    </w:rPr>
  </w:style>
  <w:style w:type="character" w:styleId="40">
    <w:name w:val="HTML Definition"/>
    <w:basedOn w:val="36"/>
    <w:semiHidden/>
    <w:unhideWhenUsed/>
    <w:qFormat/>
    <w:uiPriority w:val="99"/>
  </w:style>
  <w:style w:type="character" w:styleId="41">
    <w:name w:val="HTML Typewriter"/>
    <w:basedOn w:val="36"/>
    <w:semiHidden/>
    <w:unhideWhenUsed/>
    <w:qFormat/>
    <w:uiPriority w:val="99"/>
    <w:rPr>
      <w:rFonts w:hint="default" w:ascii="monospace" w:hAnsi="monospace" w:eastAsia="monospace" w:cs="monospace"/>
      <w:sz w:val="20"/>
    </w:rPr>
  </w:style>
  <w:style w:type="character" w:styleId="42">
    <w:name w:val="HTML Acronym"/>
    <w:basedOn w:val="36"/>
    <w:semiHidden/>
    <w:unhideWhenUsed/>
    <w:qFormat/>
    <w:uiPriority w:val="99"/>
  </w:style>
  <w:style w:type="character" w:styleId="43">
    <w:name w:val="HTML Variable"/>
    <w:basedOn w:val="36"/>
    <w:semiHidden/>
    <w:unhideWhenUsed/>
    <w:qFormat/>
    <w:uiPriority w:val="99"/>
  </w:style>
  <w:style w:type="character" w:styleId="44">
    <w:name w:val="Hyperlink"/>
    <w:basedOn w:val="36"/>
    <w:qFormat/>
    <w:uiPriority w:val="99"/>
    <w:rPr>
      <w:color w:val="333333"/>
      <w:u w:val="none"/>
    </w:rPr>
  </w:style>
  <w:style w:type="character" w:styleId="45">
    <w:name w:val="HTML Code"/>
    <w:basedOn w:val="36"/>
    <w:semiHidden/>
    <w:unhideWhenUsed/>
    <w:qFormat/>
    <w:uiPriority w:val="99"/>
    <w:rPr>
      <w:rFonts w:ascii="monospace" w:hAnsi="monospace" w:eastAsia="monospace" w:cs="monospace"/>
      <w:sz w:val="20"/>
    </w:rPr>
  </w:style>
  <w:style w:type="character" w:styleId="46">
    <w:name w:val="annotation reference"/>
    <w:semiHidden/>
    <w:qFormat/>
    <w:uiPriority w:val="99"/>
    <w:rPr>
      <w:sz w:val="21"/>
      <w:szCs w:val="21"/>
    </w:rPr>
  </w:style>
  <w:style w:type="character" w:styleId="47">
    <w:name w:val="HTML Cite"/>
    <w:basedOn w:val="36"/>
    <w:semiHidden/>
    <w:unhideWhenUsed/>
    <w:qFormat/>
    <w:uiPriority w:val="99"/>
  </w:style>
  <w:style w:type="character" w:styleId="48">
    <w:name w:val="HTML Keyboard"/>
    <w:basedOn w:val="36"/>
    <w:semiHidden/>
    <w:unhideWhenUsed/>
    <w:qFormat/>
    <w:uiPriority w:val="99"/>
    <w:rPr>
      <w:rFonts w:hint="default" w:ascii="monospace" w:hAnsi="monospace" w:eastAsia="monospace" w:cs="monospace"/>
      <w:sz w:val="20"/>
    </w:rPr>
  </w:style>
  <w:style w:type="character" w:styleId="49">
    <w:name w:val="HTML Sample"/>
    <w:basedOn w:val="36"/>
    <w:semiHidden/>
    <w:unhideWhenUsed/>
    <w:qFormat/>
    <w:uiPriority w:val="99"/>
    <w:rPr>
      <w:rFonts w:hint="default" w:ascii="monospace" w:hAnsi="monospace" w:eastAsia="monospace" w:cs="monospace"/>
    </w:rPr>
  </w:style>
  <w:style w:type="paragraph" w:customStyle="1" w:styleId="5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51">
    <w:name w:val="页眉 Char"/>
    <w:basedOn w:val="36"/>
    <w:link w:val="22"/>
    <w:qFormat/>
    <w:uiPriority w:val="0"/>
    <w:rPr>
      <w:sz w:val="18"/>
      <w:szCs w:val="18"/>
    </w:rPr>
  </w:style>
  <w:style w:type="character" w:customStyle="1" w:styleId="52">
    <w:name w:val="页脚 Char"/>
    <w:basedOn w:val="36"/>
    <w:link w:val="21"/>
    <w:qFormat/>
    <w:uiPriority w:val="0"/>
    <w:rPr>
      <w:sz w:val="18"/>
      <w:szCs w:val="18"/>
    </w:rPr>
  </w:style>
  <w:style w:type="character" w:customStyle="1" w:styleId="53">
    <w:name w:val="标题 1 Char"/>
    <w:basedOn w:val="36"/>
    <w:link w:val="4"/>
    <w:qFormat/>
    <w:uiPriority w:val="0"/>
    <w:rPr>
      <w:rFonts w:ascii="Times New Roman" w:hAnsi="Times New Roman" w:eastAsia="宋体" w:cs="Times New Roman"/>
      <w:sz w:val="28"/>
      <w:szCs w:val="24"/>
    </w:rPr>
  </w:style>
  <w:style w:type="character" w:customStyle="1" w:styleId="54">
    <w:name w:val="标题 2 Char"/>
    <w:basedOn w:val="36"/>
    <w:link w:val="5"/>
    <w:qFormat/>
    <w:uiPriority w:val="0"/>
    <w:rPr>
      <w:rFonts w:ascii="Arial" w:hAnsi="Arial" w:eastAsia="黑体" w:cs="Times New Roman"/>
      <w:b/>
      <w:kern w:val="0"/>
      <w:sz w:val="32"/>
      <w:szCs w:val="20"/>
    </w:rPr>
  </w:style>
  <w:style w:type="character" w:customStyle="1" w:styleId="55">
    <w:name w:val="标题 3 Char"/>
    <w:basedOn w:val="36"/>
    <w:link w:val="6"/>
    <w:qFormat/>
    <w:uiPriority w:val="0"/>
    <w:rPr>
      <w:rFonts w:ascii="Times New Roman" w:hAnsi="Times New Roman" w:eastAsia="宋体" w:cs="Times New Roman"/>
      <w:b/>
      <w:bCs/>
      <w:sz w:val="32"/>
      <w:szCs w:val="32"/>
      <w:lang w:val="zh-CN" w:eastAsia="zh-CN"/>
    </w:rPr>
  </w:style>
  <w:style w:type="character" w:customStyle="1" w:styleId="56">
    <w:name w:val="标题 4 Char"/>
    <w:basedOn w:val="36"/>
    <w:link w:val="7"/>
    <w:qFormat/>
    <w:uiPriority w:val="0"/>
    <w:rPr>
      <w:rFonts w:ascii="Arial" w:hAnsi="Arial" w:eastAsia="黑体" w:cs="Times New Roman"/>
      <w:b/>
      <w:kern w:val="0"/>
      <w:sz w:val="28"/>
      <w:szCs w:val="20"/>
    </w:rPr>
  </w:style>
  <w:style w:type="character" w:customStyle="1" w:styleId="57">
    <w:name w:val="日期 Char"/>
    <w:basedOn w:val="36"/>
    <w:link w:val="18"/>
    <w:qFormat/>
    <w:uiPriority w:val="0"/>
    <w:rPr>
      <w:rFonts w:ascii="Arial" w:hAnsi="Arial" w:eastAsia="楷体_GB2312" w:cs="Times New Roman"/>
      <w:sz w:val="28"/>
      <w:szCs w:val="20"/>
    </w:rPr>
  </w:style>
  <w:style w:type="character" w:customStyle="1" w:styleId="58">
    <w:name w:val="正文文本缩进 Char"/>
    <w:basedOn w:val="36"/>
    <w:link w:val="12"/>
    <w:qFormat/>
    <w:uiPriority w:val="0"/>
    <w:rPr>
      <w:rFonts w:ascii="Times New Roman" w:hAnsi="Times New Roman" w:eastAsia="仿宋_GB2312" w:cs="Times New Roman"/>
      <w:sz w:val="28"/>
      <w:szCs w:val="20"/>
    </w:rPr>
  </w:style>
  <w:style w:type="paragraph" w:customStyle="1" w:styleId="59">
    <w:name w:val="_Style 2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0">
    <w:name w:val="正文文本缩进 2 Char"/>
    <w:basedOn w:val="36"/>
    <w:link w:val="19"/>
    <w:qFormat/>
    <w:uiPriority w:val="0"/>
    <w:rPr>
      <w:rFonts w:ascii="Times New Roman" w:hAnsi="Times New Roman" w:eastAsia="仿宋_GB2312" w:cs="Times New Roman"/>
      <w:sz w:val="28"/>
      <w:szCs w:val="20"/>
    </w:rPr>
  </w:style>
  <w:style w:type="paragraph" w:customStyle="1" w:styleId="61">
    <w:name w:val="样式1"/>
    <w:basedOn w:val="1"/>
    <w:qFormat/>
    <w:uiPriority w:val="0"/>
    <w:pPr>
      <w:numPr>
        <w:ilvl w:val="0"/>
        <w:numId w:val="1"/>
      </w:numPr>
      <w:adjustRightInd w:val="0"/>
      <w:textAlignment w:val="baseline"/>
    </w:pPr>
    <w:rPr>
      <w:rFonts w:ascii="宋体" w:hAnsi="宋体"/>
      <w:kern w:val="0"/>
    </w:rPr>
  </w:style>
  <w:style w:type="paragraph" w:customStyle="1" w:styleId="62">
    <w:name w:val="样式 宋体 五号 行距: 单倍行距"/>
    <w:basedOn w:val="1"/>
    <w:qFormat/>
    <w:uiPriority w:val="0"/>
    <w:pPr>
      <w:adjustRightInd w:val="0"/>
      <w:jc w:val="left"/>
      <w:textAlignment w:val="baseline"/>
    </w:pPr>
    <w:rPr>
      <w:rFonts w:ascii="宋体" w:hAnsi="宋体"/>
      <w:kern w:val="0"/>
    </w:rPr>
  </w:style>
  <w:style w:type="paragraph" w:customStyle="1" w:styleId="63">
    <w:name w:val="样式 标题 2 + 宋体 五号 行距: 单倍行距"/>
    <w:basedOn w:val="5"/>
    <w:qFormat/>
    <w:uiPriority w:val="0"/>
    <w:pPr>
      <w:spacing w:line="240" w:lineRule="auto"/>
    </w:pPr>
    <w:rPr>
      <w:rFonts w:ascii="宋体" w:hAnsi="宋体" w:eastAsia="宋体"/>
      <w:sz w:val="21"/>
    </w:rPr>
  </w:style>
  <w:style w:type="paragraph" w:customStyle="1" w:styleId="64">
    <w:name w:val="Char Char Char Char Char"/>
    <w:basedOn w:val="1"/>
    <w:qFormat/>
    <w:uiPriority w:val="0"/>
    <w:rPr>
      <w:rFonts w:ascii="Tahoma" w:hAnsi="Tahoma"/>
      <w:sz w:val="24"/>
    </w:rPr>
  </w:style>
  <w:style w:type="paragraph" w:customStyle="1" w:styleId="65">
    <w:name w:val="Char"/>
    <w:basedOn w:val="1"/>
    <w:qFormat/>
    <w:uiPriority w:val="0"/>
    <w:rPr>
      <w:rFonts w:ascii="Tahoma" w:hAnsi="Tahoma"/>
      <w:sz w:val="24"/>
    </w:rPr>
  </w:style>
  <w:style w:type="character" w:customStyle="1" w:styleId="66">
    <w:name w:val="正文文本缩进 3 Char"/>
    <w:basedOn w:val="36"/>
    <w:link w:val="26"/>
    <w:qFormat/>
    <w:uiPriority w:val="0"/>
    <w:rPr>
      <w:rFonts w:ascii="仿宋_GB2312" w:hAnsi="Arial" w:eastAsia="仿宋_GB2312" w:cs="Times New Roman"/>
      <w:sz w:val="28"/>
      <w:szCs w:val="24"/>
    </w:rPr>
  </w:style>
  <w:style w:type="paragraph" w:customStyle="1" w:styleId="67">
    <w:name w:val="Char1"/>
    <w:basedOn w:val="1"/>
    <w:qFormat/>
    <w:uiPriority w:val="0"/>
    <w:rPr>
      <w:rFonts w:ascii="Tahoma" w:hAnsi="Tahoma" w:eastAsia="仿宋_GB2312"/>
      <w:sz w:val="24"/>
    </w:rPr>
  </w:style>
  <w:style w:type="paragraph" w:customStyle="1" w:styleId="68">
    <w:name w:val="Char Char Char Char Char Char Char1 Char"/>
    <w:basedOn w:val="1"/>
    <w:qFormat/>
    <w:uiPriority w:val="0"/>
    <w:rPr>
      <w:rFonts w:ascii="Tahoma" w:hAnsi="Tahoma"/>
      <w:sz w:val="24"/>
    </w:rPr>
  </w:style>
  <w:style w:type="character" w:customStyle="1" w:styleId="69">
    <w:name w:val="正文文本 Char"/>
    <w:basedOn w:val="36"/>
    <w:link w:val="3"/>
    <w:qFormat/>
    <w:uiPriority w:val="0"/>
    <w:rPr>
      <w:rFonts w:ascii="Times New Roman" w:hAnsi="Times New Roman" w:eastAsia="宋体" w:cs="Times New Roman"/>
      <w:szCs w:val="24"/>
    </w:rPr>
  </w:style>
  <w:style w:type="paragraph" w:customStyle="1" w:styleId="70">
    <w:name w:val="Char Char Char Char"/>
    <w:basedOn w:val="1"/>
    <w:next w:val="1"/>
    <w:qFormat/>
    <w:uiPriority w:val="0"/>
    <w:pPr>
      <w:widowControl/>
      <w:spacing w:line="360" w:lineRule="auto"/>
      <w:jc w:val="left"/>
    </w:pPr>
  </w:style>
  <w:style w:type="character" w:customStyle="1" w:styleId="71">
    <w:name w:val="批注框文本 Char"/>
    <w:basedOn w:val="36"/>
    <w:link w:val="20"/>
    <w:qFormat/>
    <w:uiPriority w:val="0"/>
    <w:rPr>
      <w:rFonts w:ascii="Times New Roman" w:hAnsi="Times New Roman" w:eastAsia="宋体" w:cs="Times New Roman"/>
      <w:sz w:val="18"/>
      <w:szCs w:val="18"/>
    </w:rPr>
  </w:style>
  <w:style w:type="paragraph" w:customStyle="1" w:styleId="72">
    <w:name w:val="Char Char Char"/>
    <w:basedOn w:val="1"/>
    <w:qFormat/>
    <w:uiPriority w:val="0"/>
    <w:rPr>
      <w:rFonts w:ascii="Tahoma" w:hAnsi="Tahoma"/>
      <w:sz w:val="24"/>
    </w:rPr>
  </w:style>
  <w:style w:type="paragraph" w:customStyle="1" w:styleId="73">
    <w:name w:val="Char Char Char Char Char Char Char Char Char Char"/>
    <w:basedOn w:val="1"/>
    <w:qFormat/>
    <w:uiPriority w:val="0"/>
    <w:rPr>
      <w:rFonts w:ascii="Tahoma" w:hAnsi="Tahoma" w:cs="仿宋_GB2312"/>
      <w:sz w:val="24"/>
    </w:rPr>
  </w:style>
  <w:style w:type="character" w:customStyle="1" w:styleId="74">
    <w:name w:val="批注文字 Char"/>
    <w:basedOn w:val="36"/>
    <w:link w:val="10"/>
    <w:semiHidden/>
    <w:qFormat/>
    <w:uiPriority w:val="99"/>
    <w:rPr>
      <w:rFonts w:ascii="Times New Roman" w:hAnsi="Times New Roman" w:eastAsia="宋体" w:cs="Times New Roman"/>
      <w:szCs w:val="20"/>
    </w:rPr>
  </w:style>
  <w:style w:type="character" w:customStyle="1" w:styleId="75">
    <w:name w:val="批注主题 Char"/>
    <w:basedOn w:val="74"/>
    <w:link w:val="32"/>
    <w:semiHidden/>
    <w:qFormat/>
    <w:uiPriority w:val="99"/>
    <w:rPr>
      <w:rFonts w:ascii="Times New Roman" w:hAnsi="Times New Roman" w:eastAsia="宋体" w:cs="Times New Roman"/>
      <w:b/>
      <w:bCs/>
      <w:szCs w:val="20"/>
    </w:rPr>
  </w:style>
  <w:style w:type="paragraph" w:customStyle="1" w:styleId="76">
    <w:name w:val="Char Char Char Char Char Char"/>
    <w:basedOn w:val="1"/>
    <w:qFormat/>
    <w:uiPriority w:val="0"/>
  </w:style>
  <w:style w:type="character" w:customStyle="1" w:styleId="77">
    <w:name w:val="纯文本 Char"/>
    <w:link w:val="16"/>
    <w:qFormat/>
    <w:uiPriority w:val="0"/>
    <w:rPr>
      <w:rFonts w:ascii="宋体" w:hAnsi="Courier New" w:eastAsia="宋体"/>
    </w:rPr>
  </w:style>
  <w:style w:type="character" w:customStyle="1" w:styleId="78">
    <w:name w:val="纯文本 Char1"/>
    <w:basedOn w:val="36"/>
    <w:semiHidden/>
    <w:qFormat/>
    <w:uiPriority w:val="99"/>
    <w:rPr>
      <w:rFonts w:ascii="宋体" w:hAnsi="Courier New" w:eastAsia="宋体" w:cs="Courier New"/>
      <w:szCs w:val="21"/>
    </w:rPr>
  </w:style>
  <w:style w:type="paragraph" w:customStyle="1" w:styleId="79">
    <w:name w:val="Char12 Char Char Char"/>
    <w:basedOn w:val="1"/>
    <w:qFormat/>
    <w:uiPriority w:val="0"/>
  </w:style>
  <w:style w:type="character" w:customStyle="1" w:styleId="80">
    <w:name w:val="文档结构图 Char"/>
    <w:basedOn w:val="36"/>
    <w:link w:val="9"/>
    <w:qFormat/>
    <w:uiPriority w:val="0"/>
    <w:rPr>
      <w:rFonts w:ascii="Times New Roman" w:hAnsi="Times New Roman" w:eastAsia="宋体" w:cs="Times New Roman"/>
      <w:szCs w:val="20"/>
      <w:shd w:val="clear" w:color="auto" w:fill="000080"/>
    </w:rPr>
  </w:style>
  <w:style w:type="character" w:customStyle="1" w:styleId="81">
    <w:name w:val="style29"/>
    <w:qFormat/>
    <w:uiPriority w:val="0"/>
  </w:style>
  <w:style w:type="character" w:customStyle="1" w:styleId="82">
    <w:name w:val="正文1"/>
    <w:qFormat/>
    <w:uiPriority w:val="0"/>
  </w:style>
  <w:style w:type="character" w:customStyle="1" w:styleId="83">
    <w:name w:val="font11"/>
    <w:qFormat/>
    <w:uiPriority w:val="0"/>
    <w:rPr>
      <w:rFonts w:hint="default" w:ascii="Times New Roman" w:hAnsi="Times New Roman" w:cs="Times New Roman"/>
      <w:color w:val="3366FF"/>
      <w:sz w:val="24"/>
      <w:szCs w:val="24"/>
      <w:u w:val="none"/>
    </w:rPr>
  </w:style>
  <w:style w:type="character" w:customStyle="1" w:styleId="84">
    <w:name w:val="font21"/>
    <w:basedOn w:val="36"/>
    <w:qFormat/>
    <w:uiPriority w:val="0"/>
    <w:rPr>
      <w:rFonts w:hint="eastAsia" w:ascii="宋体" w:hAnsi="宋体" w:eastAsia="宋体"/>
      <w:color w:val="3366FF"/>
      <w:sz w:val="24"/>
      <w:szCs w:val="24"/>
      <w:u w:val="none"/>
    </w:rPr>
  </w:style>
  <w:style w:type="paragraph" w:customStyle="1" w:styleId="85">
    <w:name w:val="Char Char15"/>
    <w:basedOn w:val="1"/>
    <w:qFormat/>
    <w:uiPriority w:val="0"/>
    <w:rPr>
      <w:rFonts w:ascii="Tahoma" w:hAnsi="Tahoma" w:eastAsia="仿宋_GB2312"/>
      <w:sz w:val="24"/>
    </w:rPr>
  </w:style>
  <w:style w:type="paragraph" w:customStyle="1" w:styleId="86">
    <w:name w:val="列出段落1"/>
    <w:basedOn w:val="1"/>
    <w:qFormat/>
    <w:uiPriority w:val="0"/>
    <w:pPr>
      <w:ind w:firstLine="420" w:firstLineChars="200"/>
    </w:pPr>
    <w:rPr>
      <w:rFonts w:ascii="Calibri" w:hAnsi="Calibri"/>
      <w:szCs w:val="22"/>
    </w:rPr>
  </w:style>
  <w:style w:type="paragraph" w:customStyle="1" w:styleId="87">
    <w:name w:val="Char2"/>
    <w:basedOn w:val="1"/>
    <w:qFormat/>
    <w:uiPriority w:val="0"/>
    <w:pPr>
      <w:tabs>
        <w:tab w:val="left" w:pos="360"/>
      </w:tabs>
    </w:pPr>
    <w:rPr>
      <w:sz w:val="24"/>
      <w:szCs w:val="24"/>
    </w:rPr>
  </w:style>
  <w:style w:type="paragraph" w:customStyle="1" w:styleId="88">
    <w:name w:val="Char16"/>
    <w:basedOn w:val="1"/>
    <w:qFormat/>
    <w:uiPriority w:val="0"/>
    <w:rPr>
      <w:rFonts w:ascii="Tahoma" w:hAnsi="Tahoma" w:eastAsia="仿宋_GB2312"/>
      <w:sz w:val="24"/>
    </w:rPr>
  </w:style>
  <w:style w:type="paragraph" w:customStyle="1" w:styleId="89">
    <w:name w:val="Char Char1"/>
    <w:basedOn w:val="1"/>
    <w:qFormat/>
    <w:uiPriority w:val="0"/>
    <w:rPr>
      <w:rFonts w:ascii="Tahoma" w:hAnsi="Tahoma"/>
      <w:sz w:val="24"/>
    </w:rPr>
  </w:style>
  <w:style w:type="paragraph" w:customStyle="1" w:styleId="90">
    <w:name w:val="Char Char Char Char Char Char Char"/>
    <w:basedOn w:val="1"/>
    <w:qFormat/>
    <w:uiPriority w:val="0"/>
    <w:rPr>
      <w:szCs w:val="24"/>
    </w:rPr>
  </w:style>
  <w:style w:type="paragraph" w:customStyle="1" w:styleId="91">
    <w:name w:val="Char Char"/>
    <w:basedOn w:val="1"/>
    <w:qFormat/>
    <w:uiPriority w:val="0"/>
    <w:rPr>
      <w:rFonts w:ascii="Tahoma" w:hAnsi="Tahoma" w:cs="仿宋_GB2312"/>
      <w:sz w:val="24"/>
    </w:rPr>
  </w:style>
  <w:style w:type="paragraph" w:customStyle="1" w:styleId="92">
    <w:name w:val="Char Char2"/>
    <w:basedOn w:val="1"/>
    <w:qFormat/>
    <w:uiPriority w:val="0"/>
    <w:rPr>
      <w:rFonts w:ascii="Tahoma" w:hAnsi="Tahoma" w:cs="仿宋_GB2312"/>
      <w:sz w:val="24"/>
    </w:rPr>
  </w:style>
  <w:style w:type="paragraph" w:customStyle="1" w:styleId="93">
    <w:name w:val="Char Char Char1"/>
    <w:basedOn w:val="1"/>
    <w:qFormat/>
    <w:uiPriority w:val="0"/>
    <w:rPr>
      <w:rFonts w:ascii="Tahoma" w:hAnsi="Tahoma"/>
      <w:sz w:val="24"/>
    </w:rPr>
  </w:style>
  <w:style w:type="paragraph" w:customStyle="1" w:styleId="94">
    <w:name w:val="D&amp;L"/>
    <w:basedOn w:val="22"/>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5">
    <w:name w:val="正文文本 3 Char"/>
    <w:basedOn w:val="36"/>
    <w:link w:val="11"/>
    <w:qFormat/>
    <w:uiPriority w:val="99"/>
    <w:rPr>
      <w:rFonts w:ascii="Calibri" w:hAnsi="Calibri" w:eastAsia="宋体" w:cs="Times New Roman"/>
      <w:sz w:val="16"/>
      <w:szCs w:val="16"/>
      <w:lang w:val="zh-CN" w:eastAsia="zh-CN"/>
    </w:rPr>
  </w:style>
  <w:style w:type="paragraph" w:customStyle="1" w:styleId="9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7">
    <w:name w:val="正文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8">
    <w:name w:val="style23"/>
    <w:qFormat/>
    <w:uiPriority w:val="0"/>
    <w:rPr>
      <w:rFonts w:ascii="Times New Roman" w:hAnsi="Times New Roman" w:eastAsia="宋体"/>
    </w:rPr>
  </w:style>
  <w:style w:type="paragraph" w:customStyle="1" w:styleId="99">
    <w:name w:val="p0"/>
    <w:basedOn w:val="1"/>
    <w:qFormat/>
    <w:uiPriority w:val="0"/>
    <w:pPr>
      <w:widowControl/>
      <w:jc w:val="left"/>
    </w:pPr>
    <w:rPr>
      <w:rFonts w:ascii="等线" w:hAnsi="等线" w:eastAsia="等线" w:cs="等线"/>
      <w:kern w:val="0"/>
      <w:sz w:val="20"/>
      <w:szCs w:val="22"/>
    </w:rPr>
  </w:style>
  <w:style w:type="paragraph" w:customStyle="1" w:styleId="100">
    <w:name w:val="列表段落1"/>
    <w:basedOn w:val="1"/>
    <w:qFormat/>
    <w:uiPriority w:val="34"/>
    <w:pPr>
      <w:ind w:firstLine="420" w:firstLineChars="200"/>
    </w:pPr>
    <w:rPr>
      <w:szCs w:val="24"/>
    </w:rPr>
  </w:style>
  <w:style w:type="paragraph" w:customStyle="1" w:styleId="101">
    <w:name w:val="y-正文"/>
    <w:basedOn w:val="1"/>
    <w:qFormat/>
    <w:uiPriority w:val="0"/>
    <w:pPr>
      <w:widowControl/>
      <w:adjustRightInd w:val="0"/>
      <w:snapToGrid w:val="0"/>
      <w:spacing w:after="80" w:line="360" w:lineRule="auto"/>
      <w:ind w:firstLine="480" w:firstLineChars="200"/>
      <w:jc w:val="left"/>
    </w:pPr>
    <w:rPr>
      <w:rFonts w:ascii="Tahoma" w:hAnsi="Tahoma" w:eastAsia="微软雅黑"/>
      <w:kern w:val="0"/>
      <w:sz w:val="24"/>
      <w:szCs w:val="28"/>
    </w:rPr>
  </w:style>
  <w:style w:type="paragraph" w:styleId="102">
    <w:name w:val="List Paragraph"/>
    <w:basedOn w:val="1"/>
    <w:qFormat/>
    <w:uiPriority w:val="99"/>
    <w:pPr>
      <w:ind w:firstLine="420" w:firstLineChars="200"/>
    </w:pPr>
  </w:style>
  <w:style w:type="table" w:customStyle="1" w:styleId="103">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04">
    <w:name w:val="first-child3"/>
    <w:basedOn w:val="36"/>
    <w:qFormat/>
    <w:uiPriority w:val="0"/>
  </w:style>
  <w:style w:type="character" w:customStyle="1" w:styleId="105">
    <w:name w:val="layui-this"/>
    <w:basedOn w:val="36"/>
    <w:qFormat/>
    <w:uiPriority w:val="0"/>
    <w:rPr>
      <w:bdr w:val="single" w:color="EEEEEE" w:sz="6" w:space="0"/>
      <w:shd w:val="clear" w:fill="FFFFFF"/>
    </w:rPr>
  </w:style>
  <w:style w:type="character" w:customStyle="1" w:styleId="106">
    <w:name w:val="NormalCharacter"/>
    <w:semiHidden/>
    <w:qFormat/>
    <w:uiPriority w:val="0"/>
    <w:rPr>
      <w:kern w:val="2"/>
      <w:sz w:val="21"/>
      <w:lang w:val="en-US" w:eastAsia="zh-CN" w:bidi="ar-SA"/>
    </w:rPr>
  </w:style>
  <w:style w:type="paragraph" w:customStyle="1" w:styleId="107">
    <w:name w:val="Table Paragraph"/>
    <w:basedOn w:val="1"/>
    <w:qFormat/>
    <w:uiPriority w:val="1"/>
    <w:pPr>
      <w:widowControl/>
      <w:adjustRightInd w:val="0"/>
      <w:snapToGrid w:val="0"/>
      <w:spacing w:after="200"/>
      <w:jc w:val="left"/>
    </w:pPr>
    <w:rPr>
      <w:rFonts w:ascii="宋体" w:hAnsi="宋体" w:cs="宋体"/>
      <w:kern w:val="0"/>
      <w:sz w:val="22"/>
      <w:szCs w:val="22"/>
      <w:lang w:val="zh-CN" w:bidi="zh-CN"/>
    </w:rPr>
  </w:style>
  <w:style w:type="paragraph" w:customStyle="1" w:styleId="108">
    <w:name w:val="目录"/>
    <w:basedOn w:val="1"/>
    <w:qFormat/>
    <w:uiPriority w:val="0"/>
    <w:pPr>
      <w:widowControl/>
      <w:jc w:val="center"/>
    </w:pPr>
    <w:rPr>
      <w:rFonts w:ascii="宋体"/>
      <w:b/>
      <w:kern w:val="0"/>
      <w:sz w:val="36"/>
      <w:szCs w:val="20"/>
    </w:rPr>
  </w:style>
  <w:style w:type="character" w:customStyle="1" w:styleId="109">
    <w:name w:val="hover7"/>
    <w:basedOn w:val="36"/>
    <w:qFormat/>
    <w:uiPriority w:val="0"/>
    <w:rPr>
      <w:u w:val="single"/>
    </w:rPr>
  </w:style>
  <w:style w:type="character" w:customStyle="1" w:styleId="110">
    <w:name w:val="first-child2"/>
    <w:basedOn w:val="36"/>
    <w:qFormat/>
    <w:uiPriority w:val="0"/>
  </w:style>
  <w:style w:type="character" w:customStyle="1" w:styleId="111">
    <w:name w:val="first-child"/>
    <w:basedOn w:val="36"/>
    <w:qFormat/>
    <w:uiPriority w:val="0"/>
  </w:style>
  <w:style w:type="character" w:customStyle="1" w:styleId="112">
    <w:name w:val="hover6"/>
    <w:basedOn w:val="36"/>
    <w:qFormat/>
    <w:uiPriority w:val="0"/>
    <w:rPr>
      <w:u w:val="single"/>
    </w:rPr>
  </w:style>
  <w:style w:type="character" w:customStyle="1" w:styleId="113">
    <w:name w:val="hover"/>
    <w:basedOn w:val="36"/>
    <w:qFormat/>
    <w:uiPriority w:val="0"/>
    <w:rPr>
      <w:u w:val="single"/>
    </w:rPr>
  </w:style>
  <w:style w:type="character" w:customStyle="1" w:styleId="114">
    <w:name w:val="标题 2 Char1"/>
    <w:link w:val="5"/>
    <w:qFormat/>
    <w:uiPriority w:val="0"/>
    <w:rPr>
      <w:rFonts w:ascii="Arial" w:hAnsi="Arial" w:eastAsia="黑体"/>
      <w:b/>
      <w:kern w:val="0"/>
      <w:sz w:val="32"/>
    </w:rPr>
  </w:style>
  <w:style w:type="paragraph" w:customStyle="1" w:styleId="115">
    <w:name w:val="Table Text"/>
    <w:basedOn w:val="1"/>
    <w:semiHidden/>
    <w:qFormat/>
    <w:uiPriority w:val="0"/>
    <w:rPr>
      <w:rFonts w:ascii="宋体" w:hAnsi="宋体" w:eastAsia="宋体" w:cs="宋体"/>
      <w:sz w:val="14"/>
      <w:szCs w:val="14"/>
      <w:lang w:val="en-US" w:eastAsia="en-US" w:bidi="ar-SA"/>
    </w:rPr>
  </w:style>
  <w:style w:type="character" w:customStyle="1" w:styleId="116">
    <w:name w:val="font51"/>
    <w:basedOn w:val="36"/>
    <w:qFormat/>
    <w:uiPriority w:val="0"/>
    <w:rPr>
      <w:rFonts w:ascii="宋体" w:hAnsi="宋体" w:eastAsia="宋体" w:cs="宋体"/>
      <w:color w:val="000000"/>
      <w:sz w:val="14"/>
      <w:szCs w:val="14"/>
      <w:u w:val="none"/>
    </w:rPr>
  </w:style>
  <w:style w:type="character" w:customStyle="1" w:styleId="117">
    <w:name w:val="font61"/>
    <w:basedOn w:val="36"/>
    <w:qFormat/>
    <w:uiPriority w:val="0"/>
    <w:rPr>
      <w:rFonts w:hint="eastAsia" w:ascii="MS Gothic" w:hAnsi="MS Gothic" w:eastAsia="MS Gothic" w:cs="MS Gothic"/>
      <w:color w:val="000000"/>
      <w:sz w:val="14"/>
      <w:szCs w:val="14"/>
      <w:u w:val="none"/>
    </w:rPr>
  </w:style>
  <w:style w:type="character" w:customStyle="1" w:styleId="118">
    <w:name w:val="layui-laydate-preview"/>
    <w:basedOn w:val="36"/>
    <w:qFormat/>
    <w:uiPriority w:val="0"/>
  </w:style>
  <w:style w:type="character" w:customStyle="1" w:styleId="119">
    <w:name w:val="hover4"/>
    <w:basedOn w:val="36"/>
    <w:qFormat/>
    <w:uiPriority w:val="0"/>
    <w:rPr>
      <w:color w:val="5FB878"/>
    </w:rPr>
  </w:style>
  <w:style w:type="character" w:customStyle="1" w:styleId="120">
    <w:name w:val="hover5"/>
    <w:basedOn w:val="36"/>
    <w:qFormat/>
    <w:uiPriority w:val="0"/>
    <w:rPr>
      <w:color w:val="5FB87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header" Target="header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56BDE9-714D-4926-99DB-64701F77403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1768</Words>
  <Characters>1977</Characters>
  <Lines>186</Lines>
  <Paragraphs>52</Paragraphs>
  <TotalTime>42</TotalTime>
  <ScaleCrop>false</ScaleCrop>
  <LinksUpToDate>false</LinksUpToDate>
  <CharactersWithSpaces>2034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2017-04-19T15:21:00Z</dcterms:created>
  <dc:creator>朱少尉</dc:creator>
  <cp:lastModifiedBy>示人</cp:lastModifiedBy>
  <cp:lastPrinted>2022-11-18T02:30:00Z</cp:lastPrinted>
  <dcterms:modified xsi:type="dcterms:W3CDTF">2025-12-08T00:20:23Z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FF6182831F3F458591550E5B8CDA8E55_13</vt:lpwstr>
  </property>
  <property fmtid="{D5CDD505-2E9C-101B-9397-08002B2CF9AE}" pid="4" name="KSOTemplateDocerSaveRecord">
    <vt:lpwstr>eyJoZGlkIjoiM2VlMDA4NTVmMWVkZjFjNzA4Nzk5NzEwMDIxM2ZlZTEiLCJ1c2VySWQiOiIxMzU3OTEzNTUzIn0=</vt:lpwstr>
  </property>
</Properties>
</file>